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bookmarkStart w:id="0" w:name="_GoBack"/>
      <w:bookmarkEnd w:id="0"/>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2023年度搅拌站维修保养服务项目询价文件（服务类）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方正仿宋简体" w:cs="Times New Roman"/>
          <w:sz w:val="32"/>
          <w:szCs w:val="32"/>
          <w:u w:val="none"/>
          <w:lang w:val="en-US" w:eastAsia="zh-CN"/>
        </w:rPr>
      </w:pPr>
      <w:r>
        <w:rPr>
          <w:rFonts w:hint="eastAsia" w:ascii="Times New Roman" w:hAnsi="Times New Roman" w:eastAsia="方正仿宋_GBK" w:cs="Times New Roman"/>
          <w:kern w:val="2"/>
          <w:sz w:val="32"/>
          <w:szCs w:val="40"/>
          <w:u w:val="none"/>
          <w:lang w:val="en-US" w:eastAsia="zh-CN" w:bidi="ar-SA"/>
        </w:rPr>
        <w:t>2023</w:t>
      </w:r>
      <w:r>
        <w:rPr>
          <w:rFonts w:hint="eastAsia" w:ascii="Times New Roman" w:hAnsi="Times New Roman" w:eastAsia="方正仿宋简体" w:cs="Times New Roman"/>
          <w:b w:val="0"/>
          <w:bCs w:val="0"/>
          <w:color w:val="auto"/>
          <w:sz w:val="32"/>
          <w:szCs w:val="32"/>
          <w:u w:val="none"/>
          <w:lang w:val="en-US" w:eastAsia="zh-CN"/>
        </w:rPr>
        <w:t>年度搅拌站维修保养服务项目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lang w:val="en-US" w:eastAsia="zh-CN"/>
        </w:rPr>
      </w:pPr>
      <w:r>
        <w:rPr>
          <w:rFonts w:hint="eastAsia" w:ascii="黑体" w:hAnsi="黑体" w:eastAsia="黑体" w:cs="黑体"/>
          <w:b w:val="0"/>
          <w:bCs/>
          <w:sz w:val="32"/>
          <w:szCs w:val="32"/>
          <w:lang w:val="en-US" w:eastAsia="zh-CN"/>
        </w:rPr>
        <w:t>二、采购内容及要求</w:t>
      </w:r>
    </w:p>
    <w:tbl>
      <w:tblPr>
        <w:tblStyle w:val="11"/>
        <w:tblW w:w="8586" w:type="dxa"/>
        <w:jc w:val="center"/>
        <w:tblLayout w:type="fixed"/>
        <w:tblCellMar>
          <w:top w:w="0" w:type="dxa"/>
          <w:left w:w="0" w:type="dxa"/>
          <w:bottom w:w="0" w:type="dxa"/>
          <w:right w:w="0" w:type="dxa"/>
        </w:tblCellMar>
      </w:tblPr>
      <w:tblGrid>
        <w:gridCol w:w="555"/>
        <w:gridCol w:w="1275"/>
        <w:gridCol w:w="1395"/>
        <w:gridCol w:w="1320"/>
        <w:gridCol w:w="4041"/>
      </w:tblGrid>
      <w:tr>
        <w:tblPrEx>
          <w:tblCellMar>
            <w:top w:w="0" w:type="dxa"/>
            <w:left w:w="0" w:type="dxa"/>
            <w:bottom w:w="0" w:type="dxa"/>
            <w:right w:w="0" w:type="dxa"/>
          </w:tblCellMar>
        </w:tblPrEx>
        <w:trPr>
          <w:trHeight w:val="435" w:hRule="atLeast"/>
          <w:jc w:val="center"/>
        </w:trPr>
        <w:tc>
          <w:tcPr>
            <w:tcW w:w="555" w:type="dxa"/>
            <w:tcBorders>
              <w:top w:val="single" w:color="000000" w:sz="8" w:space="0"/>
              <w:left w:val="single" w:color="auto" w:sz="4"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序号</w:t>
            </w:r>
          </w:p>
        </w:tc>
        <w:tc>
          <w:tcPr>
            <w:tcW w:w="1275"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类别</w:t>
            </w:r>
          </w:p>
        </w:tc>
        <w:tc>
          <w:tcPr>
            <w:tcW w:w="1395"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规格型号要求</w:t>
            </w:r>
          </w:p>
        </w:tc>
        <w:tc>
          <w:tcPr>
            <w:tcW w:w="1320"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单位</w:t>
            </w:r>
          </w:p>
        </w:tc>
        <w:tc>
          <w:tcPr>
            <w:tcW w:w="4041"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数量（预计）</w:t>
            </w:r>
          </w:p>
        </w:tc>
      </w:tr>
      <w:tr>
        <w:tblPrEx>
          <w:tblCellMar>
            <w:top w:w="0" w:type="dxa"/>
            <w:left w:w="0" w:type="dxa"/>
            <w:bottom w:w="0" w:type="dxa"/>
            <w:right w:w="0" w:type="dxa"/>
          </w:tblCellMar>
        </w:tblPrEx>
        <w:trPr>
          <w:trHeight w:val="433" w:hRule="atLeast"/>
          <w:jc w:val="center"/>
        </w:trPr>
        <w:tc>
          <w:tcPr>
            <w:tcW w:w="555" w:type="dxa"/>
            <w:tcBorders>
              <w:top w:val="nil"/>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val="0"/>
                <w:bCs w:val="0"/>
                <w:color w:val="auto"/>
                <w:lang w:val="en-US" w:eastAsia="zh-CN"/>
              </w:rPr>
              <w:t>1</w:t>
            </w:r>
          </w:p>
        </w:tc>
        <w:tc>
          <w:tcPr>
            <w:tcW w:w="1275"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搅拌站维修保养服务</w:t>
            </w:r>
          </w:p>
        </w:tc>
        <w:tc>
          <w:tcPr>
            <w:tcW w:w="139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cstheme="minorBidi"/>
                <w:b/>
                <w:bCs/>
                <w:color w:val="auto"/>
                <w:kern w:val="2"/>
                <w:sz w:val="21"/>
                <w:szCs w:val="24"/>
                <w:lang w:val="en-US" w:eastAsia="zh-CN" w:bidi="ar-SA"/>
              </w:rPr>
              <w:t>HZN180</w:t>
            </w:r>
          </w:p>
        </w:tc>
        <w:tc>
          <w:tcPr>
            <w:tcW w:w="1320"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次</w:t>
            </w:r>
          </w:p>
        </w:tc>
        <w:tc>
          <w:tcPr>
            <w:tcW w:w="4041"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除主机清理分项为每月清理，其余分项按次计算。</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bCs/>
          <w:color w:val="FF0000"/>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1.报价方式：</w:t>
      </w:r>
      <w:r>
        <w:rPr>
          <w:rFonts w:hint="eastAsia" w:ascii="Times New Roman" w:hAnsi="Times New Roman" w:eastAsia="方正仿宋简体" w:cs="Times New Roman"/>
          <w:b/>
          <w:bCs/>
          <w:color w:val="auto"/>
          <w:sz w:val="32"/>
          <w:szCs w:val="32"/>
          <w:u w:val="single"/>
          <w:lang w:val="en-US" w:eastAsia="zh-CN"/>
        </w:rPr>
        <w:t>采用最低价中标。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2.本次报价为不含税报价（需开具增值税专票并明确税率）。报价人报价时必须充分考虑本项目的实际情况，对可能涉及的与本项目相关的租赁费、机械费、运输费、人工费、管理费、保险费、规费、税费、风险费、政策性文件规定费用、利润及乙方需承担的义务、责任、风险（包含机械设备、人工、汽油柴油的涨价费用）以及为本项目提供服务必须支出的一切费用。对在合同实施过程中可能发生的其他费用（如：成本增加等因素），采购人概不负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四、报价文件的递交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i w:val="0"/>
          <w:iCs w:val="0"/>
          <w:caps w:val="0"/>
          <w:color w:val="auto"/>
          <w:spacing w:val="0"/>
          <w:sz w:val="32"/>
          <w:szCs w:val="32"/>
          <w:shd w:val="clear" w:fill="FFFFFF"/>
          <w:lang w:val="en-US" w:eastAsia="zh-CN"/>
        </w:rPr>
        <w:t>1.报价单位在</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递交报价文件时须同步提交：①</w:t>
      </w:r>
      <w:r>
        <w:rPr>
          <w:rFonts w:hint="eastAsia" w:ascii="Times New Roman" w:hAnsi="Times New Roman" w:eastAsia="方正仿宋简体" w:cs="Times New Roman"/>
          <w:color w:val="auto"/>
          <w:kern w:val="2"/>
          <w:sz w:val="32"/>
          <w:szCs w:val="32"/>
          <w:lang w:val="en-US" w:eastAsia="zh-CN" w:bidi="ar-SA"/>
        </w:rPr>
        <w:t>合格</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有效的法人营业执照(副本)复印件、银行基本账户信息、资质证书、近三年类似项目业绩证明材料等的复印件；②项目报价单，③企业其他资质证书（如有）。以上复印件材料均需加盖公章。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2.</w:t>
      </w:r>
      <w:r>
        <w:rPr>
          <w:rFonts w:hint="eastAsia" w:ascii="Times New Roman" w:hAnsi="Times New Roman" w:eastAsia="方正仿宋简体" w:cs="Times New Roman"/>
          <w:i w:val="0"/>
          <w:iCs w:val="0"/>
          <w:caps w:val="0"/>
          <w:color w:val="auto"/>
          <w:spacing w:val="0"/>
          <w:sz w:val="32"/>
          <w:szCs w:val="32"/>
          <w:shd w:val="clear" w:fill="FFFFFF"/>
          <w:lang w:val="en-US" w:eastAsia="zh-CN"/>
        </w:rPr>
        <w:t>报价单位</w:t>
      </w:r>
      <w:r>
        <w:rPr>
          <w:rFonts w:hint="eastAsia" w:ascii="Times New Roman" w:hAnsi="Times New Roman" w:eastAsia="方正仿宋简体" w:cs="Times New Roman"/>
          <w:i w:val="0"/>
          <w:iCs w:val="0"/>
          <w:caps w:val="0"/>
          <w:color w:val="auto"/>
          <w:spacing w:val="0"/>
          <w:sz w:val="32"/>
          <w:szCs w:val="32"/>
          <w:shd w:val="clear" w:fill="FFFFFF"/>
        </w:rPr>
        <w:t>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五、服务要求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1.技术要求：按照甲方现场负责人要求及相关“国家标准”标准进行施工作业。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eastAsia="zh-CN"/>
        </w:rPr>
      </w:pPr>
      <w:r>
        <w:rPr>
          <w:rFonts w:hint="eastAsia" w:ascii="Times New Roman" w:hAnsi="Times New Roman" w:eastAsia="方正仿宋简体" w:cs="Times New Roman"/>
          <w:b w:val="0"/>
          <w:bCs w:val="0"/>
          <w:color w:val="auto"/>
          <w:sz w:val="32"/>
          <w:szCs w:val="32"/>
          <w:u w:val="none"/>
          <w:lang w:val="en-US" w:eastAsia="zh-CN"/>
        </w:rPr>
        <w:t>2</w:t>
      </w:r>
      <w:r>
        <w:rPr>
          <w:rFonts w:hint="eastAsia" w:ascii="Times New Roman" w:hAnsi="Times New Roman" w:eastAsia="方正仿宋简体" w:cs="Times New Roman"/>
          <w:b w:val="0"/>
          <w:bCs w:val="0"/>
          <w:color w:val="auto"/>
          <w:sz w:val="32"/>
          <w:szCs w:val="32"/>
          <w:u w:val="none"/>
          <w:lang w:eastAsia="zh-CN"/>
        </w:rPr>
        <w:t>.工期要求：合同签署后</w:t>
      </w:r>
      <w:r>
        <w:rPr>
          <w:rFonts w:hint="eastAsia" w:ascii="Times New Roman" w:hAnsi="Times New Roman" w:eastAsia="方正仿宋简体" w:cs="Times New Roman"/>
          <w:b w:val="0"/>
          <w:bCs w:val="0"/>
          <w:color w:val="auto"/>
          <w:sz w:val="32"/>
          <w:szCs w:val="32"/>
          <w:u w:val="none"/>
          <w:lang w:val="en-US" w:eastAsia="zh-CN"/>
        </w:rPr>
        <w:t>1年度。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417FF9"/>
          <w:sz w:val="32"/>
          <w:szCs w:val="32"/>
          <w:u w:val="none"/>
          <w:lang w:eastAsia="zh-CN"/>
        </w:rPr>
      </w:pPr>
      <w:r>
        <w:rPr>
          <w:rFonts w:hint="eastAsia" w:ascii="Times New Roman" w:hAnsi="Times New Roman" w:eastAsia="方正仿宋简体" w:cs="Times New Roman"/>
          <w:b w:val="0"/>
          <w:bCs w:val="0"/>
          <w:color w:val="auto"/>
          <w:sz w:val="32"/>
          <w:szCs w:val="32"/>
          <w:u w:val="none"/>
          <w:lang w:val="en-US" w:eastAsia="zh-CN"/>
        </w:rPr>
        <w:t>3</w:t>
      </w:r>
      <w:r>
        <w:rPr>
          <w:rFonts w:hint="eastAsia" w:ascii="Times New Roman" w:hAnsi="Times New Roman" w:eastAsia="方正仿宋简体" w:cs="Times New Roman"/>
          <w:b w:val="0"/>
          <w:bCs w:val="0"/>
          <w:color w:val="auto"/>
          <w:sz w:val="32"/>
          <w:szCs w:val="32"/>
          <w:u w:val="none"/>
          <w:lang w:eastAsia="zh-CN"/>
        </w:rPr>
        <w:t>.</w:t>
      </w:r>
      <w:r>
        <w:rPr>
          <w:rFonts w:hint="eastAsia" w:ascii="Times New Roman" w:hAnsi="Times New Roman" w:eastAsia="方正仿宋简体" w:cs="Times New Roman"/>
          <w:b w:val="0"/>
          <w:bCs w:val="0"/>
          <w:color w:val="auto"/>
          <w:sz w:val="32"/>
          <w:szCs w:val="32"/>
          <w:u w:val="none"/>
          <w:lang w:val="en-US" w:eastAsia="zh-CN"/>
        </w:rPr>
        <w:t>验收</w:t>
      </w:r>
      <w:r>
        <w:rPr>
          <w:rFonts w:hint="eastAsia" w:ascii="Times New Roman" w:hAnsi="Times New Roman" w:eastAsia="方正仿宋简体" w:cs="Times New Roman"/>
          <w:b w:val="0"/>
          <w:bCs w:val="0"/>
          <w:color w:val="auto"/>
          <w:sz w:val="32"/>
          <w:szCs w:val="32"/>
          <w:u w:val="none"/>
          <w:lang w:eastAsia="zh-CN"/>
        </w:rPr>
        <w:t>方式：</w:t>
      </w:r>
      <w:r>
        <w:rPr>
          <w:rFonts w:hint="eastAsia" w:ascii="Times New Roman" w:hAnsi="Times New Roman" w:eastAsia="方正仿宋简体" w:cs="Times New Roman"/>
          <w:b w:val="0"/>
          <w:bCs w:val="0"/>
          <w:color w:val="auto"/>
          <w:sz w:val="32"/>
          <w:szCs w:val="32"/>
          <w:u w:val="none"/>
          <w:lang w:val="en-US" w:eastAsia="zh-CN"/>
        </w:rPr>
        <w:t>经甲方</w:t>
      </w:r>
      <w:r>
        <w:rPr>
          <w:rFonts w:hint="default" w:ascii="Times New Roman" w:hAnsi="Times New Roman" w:eastAsia="方正仿宋简体" w:cs="Times New Roman"/>
          <w:b w:val="0"/>
          <w:bCs w:val="0"/>
          <w:color w:val="auto"/>
          <w:sz w:val="32"/>
          <w:szCs w:val="32"/>
          <w:u w:val="none"/>
          <w:lang w:eastAsia="zh-CN"/>
        </w:rPr>
        <w:t>指定</w:t>
      </w:r>
      <w:r>
        <w:rPr>
          <w:rFonts w:hint="eastAsia" w:ascii="Times New Roman" w:hAnsi="Times New Roman" w:eastAsia="方正仿宋简体" w:cs="Times New Roman"/>
          <w:b w:val="0"/>
          <w:bCs w:val="0"/>
          <w:color w:val="auto"/>
          <w:sz w:val="32"/>
          <w:szCs w:val="32"/>
          <w:u w:val="none"/>
          <w:lang w:val="en-US" w:eastAsia="zh-CN"/>
        </w:rPr>
        <w:t>现场负责人确认</w:t>
      </w:r>
      <w:r>
        <w:rPr>
          <w:rFonts w:hint="eastAsia" w:ascii="Times New Roman" w:hAnsi="Times New Roman" w:eastAsia="方正仿宋简体" w:cs="Times New Roman"/>
          <w:b w:val="0"/>
          <w:bCs w:val="0"/>
          <w:color w:val="auto"/>
          <w:sz w:val="32"/>
          <w:szCs w:val="32"/>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Times New Roman" w:hAnsi="Times New Roman" w:eastAsia="方正仿宋简体" w:cs="Times New Roman"/>
          <w:b w:val="0"/>
          <w:bCs w:val="0"/>
          <w:color w:val="auto"/>
          <w:sz w:val="32"/>
          <w:szCs w:val="32"/>
          <w:u w:val="none"/>
          <w:lang w:val="en-US" w:eastAsia="zh-CN"/>
        </w:rPr>
        <w:t>4.付款方式：</w:t>
      </w:r>
      <w:r>
        <w:rPr>
          <w:rFonts w:hint="eastAsia" w:ascii="仿宋" w:hAnsi="仿宋" w:eastAsia="仿宋" w:cs="仿宋"/>
          <w:color w:val="auto"/>
          <w:kern w:val="0"/>
          <w:sz w:val="32"/>
          <w:szCs w:val="32"/>
          <w:lang w:val="en-US" w:eastAsia="zh-CN" w:bidi="ar"/>
        </w:rPr>
        <w:t>完工后，按合同约定的付款周期，乙方持甲方验收人员确认签字的验收清单和当次清运服务价款等额的增值税专用发票向甲方结算当次货款，甲方在收到验收清单和发票后30日内以银行转账的形式一次性支付当期应付合同价款。</w:t>
      </w:r>
      <w:r>
        <w:rPr>
          <w:rFonts w:hint="eastAsia" w:ascii="仿宋" w:hAnsi="仿宋" w:eastAsia="仿宋" w:cs="仿宋"/>
          <w:color w:val="000000"/>
          <w:kern w:val="0"/>
          <w:sz w:val="32"/>
          <w:szCs w:val="32"/>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六、其他要求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1.作业时间：甲方提前二天通知乙方，乙方在收到甲方通知后第二天安排到厂。</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3.作业安全、环保要求：乙方负责作业过程中的财产及人身安全，作业须佩戴安全帽、安全带，做到“安全生产、文明施工”保质、保量、保安全、按时完成作业任务。在作业过程中若因乙方原因出现安全事故造成经济责任和法律责任均由乙方承担。进场作业期间全面执行安全环保相关法律法规及规范标准，承担安全环保主体责任，做好安全环保工作。</w:t>
      </w:r>
    </w:p>
    <w:p>
      <w:pPr>
        <w:ind w:firstLine="640" w:firstLineChars="200"/>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4. 公司资质、专业技术能力、设施设备和人员等条件符合法律法规及工作要求。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方正仿宋简体" w:cs="Times New Roman"/>
          <w:b/>
          <w:bCs/>
          <w:color w:val="auto"/>
          <w:sz w:val="32"/>
          <w:szCs w:val="32"/>
          <w:u w:val="none"/>
          <w:lang w:eastAsia="zh-CN"/>
        </w:rPr>
        <w:t xml:space="preserve">★以上要求均为实质性要求，不允许有负偏离，否则作无效处理。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七、评审方法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color w:val="auto"/>
          <w:sz w:val="32"/>
          <w:szCs w:val="32"/>
          <w:u w:val="none"/>
          <w:lang w:val="en-US" w:eastAsia="zh-CN"/>
        </w:rPr>
        <w:t>1.</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本项目采用以经评审的最低价法确定本项目成交单位。如有最终报价相同者，取注册资本金大的一方为成交候选供应商。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2.开启时间及地点：2022年11月8日14:30，在泸州市兴泸远大建筑科技有限公司内举行。</w:t>
      </w: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方正小标宋简体" w:hAnsi="方正小标宋简体" w:eastAsia="方正小标宋简体" w:cs="方正小标宋简体"/>
          <w:sz w:val="44"/>
          <w:szCs w:val="52"/>
          <w:lang w:val="en-US" w:eastAsia="zh-CN"/>
        </w:rPr>
      </w:pPr>
      <w:r>
        <w:rPr>
          <w:rFonts w:hint="eastAsia" w:ascii="黑体" w:hAnsi="黑体" w:eastAsia="黑体" w:cs="黑体"/>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w w:val="85"/>
          <w:sz w:val="44"/>
          <w:szCs w:val="52"/>
          <w:lang w:val="en-US" w:eastAsia="zh-CN"/>
        </w:rPr>
      </w:pPr>
      <w:r>
        <w:rPr>
          <w:rFonts w:hint="eastAsia" w:ascii="方正小标宋简体" w:hAnsi="方正小标宋简体" w:eastAsia="方正小标宋简体" w:cs="方正小标宋简体"/>
          <w:sz w:val="44"/>
          <w:szCs w:val="52"/>
          <w:lang w:val="en-US" w:eastAsia="zh-CN"/>
        </w:rPr>
        <w:t>2023年度搅拌站维修保养服务项目</w:t>
      </w:r>
      <w:r>
        <w:rPr>
          <w:rFonts w:hint="eastAsia" w:ascii="方正小标宋简体" w:hAnsi="方正小标宋简体" w:eastAsia="方正小标宋简体" w:cs="方正小标宋简体"/>
          <w:w w:val="85"/>
          <w:sz w:val="44"/>
          <w:szCs w:val="52"/>
          <w:lang w:val="en-US" w:eastAsia="zh-CN"/>
        </w:rPr>
        <w:t>报价单</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方正仿宋简体" w:cs="Times New Roman"/>
          <w:b w:val="0"/>
          <w:bCs/>
          <w:sz w:val="32"/>
          <w:szCs w:val="32"/>
          <w:u w:val="single"/>
          <w:lang w:eastAsia="zh-CN"/>
        </w:rPr>
      </w:pP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项目名称：</w:t>
      </w:r>
      <w:r>
        <w:rPr>
          <w:rFonts w:hint="eastAsia" w:ascii="Times New Roman" w:hAnsi="Times New Roman" w:eastAsia="方正仿宋_GBK" w:cs="Times New Roman"/>
          <w:kern w:val="2"/>
          <w:sz w:val="32"/>
          <w:szCs w:val="40"/>
          <w:u w:val="none"/>
          <w:lang w:val="en-US" w:eastAsia="zh-CN" w:bidi="ar-SA"/>
        </w:rPr>
        <w:t>2023年度搅拌站维修保养服务项目</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仿宋" w:hAnsi="仿宋" w:eastAsia="仿宋" w:cs="仿宋"/>
          <w:b w:val="0"/>
          <w:bCs/>
          <w:sz w:val="32"/>
          <w:szCs w:val="32"/>
          <w:lang w:eastAsia="zh-CN"/>
        </w:rPr>
      </w:pPr>
      <w:r>
        <w:rPr>
          <w:rFonts w:hint="eastAsia" w:ascii="Times New Roman" w:hAnsi="Times New Roman" w:eastAsia="方正仿宋简体" w:cs="Times New Roman"/>
          <w:b w:val="0"/>
          <w:bCs/>
          <w:sz w:val="32"/>
          <w:szCs w:val="32"/>
          <w:u w:val="none"/>
          <w:lang w:val="en-US" w:eastAsia="zh-CN"/>
        </w:rPr>
        <w:t>采购编号：</w:t>
      </w:r>
      <w:r>
        <w:rPr>
          <w:rFonts w:hint="eastAsia" w:ascii="Times New Roman" w:hAnsi="Times New Roman" w:eastAsia="方正仿宋_GBK" w:cs="Times New Roman"/>
          <w:color w:val="auto"/>
          <w:kern w:val="2"/>
          <w:sz w:val="32"/>
          <w:szCs w:val="40"/>
          <w:u w:val="single"/>
          <w:lang w:val="en-US" w:eastAsia="zh-CN" w:bidi="ar-SA"/>
        </w:rPr>
        <w:t>XLJK-XJ-2022042</w:t>
      </w:r>
      <w:r>
        <w:rPr>
          <w:rFonts w:hint="eastAsia" w:ascii="仿宋" w:hAnsi="仿宋" w:eastAsia="仿宋" w:cs="仿宋"/>
          <w:b w:val="0"/>
          <w:bCs/>
          <w:sz w:val="32"/>
          <w:szCs w:val="32"/>
          <w:u w:val="single"/>
          <w:lang w:eastAsia="zh-CN"/>
        </w:rPr>
        <w:t xml:space="preserve"> </w:t>
      </w:r>
      <w:r>
        <w:rPr>
          <w:rFonts w:hint="eastAsia" w:ascii="仿宋" w:hAnsi="仿宋" w:eastAsia="仿宋" w:cs="仿宋"/>
          <w:b w:val="0"/>
          <w:bCs/>
          <w:sz w:val="32"/>
          <w:szCs w:val="32"/>
          <w:lang w:eastAsia="zh-CN"/>
        </w:rPr>
        <w:t xml:space="preserve">              </w:t>
      </w:r>
    </w:p>
    <w:tbl>
      <w:tblPr>
        <w:tblStyle w:val="12"/>
        <w:tblW w:w="9675" w:type="dxa"/>
        <w:tblInd w:w="-4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2385"/>
        <w:gridCol w:w="945"/>
        <w:gridCol w:w="514"/>
        <w:gridCol w:w="822"/>
        <w:gridCol w:w="1206"/>
        <w:gridCol w:w="1047"/>
        <w:gridCol w:w="767"/>
        <w:gridCol w:w="114"/>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序号</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类别</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规格型号</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单位</w:t>
            </w:r>
          </w:p>
        </w:tc>
        <w:tc>
          <w:tcPr>
            <w:tcW w:w="82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数量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（预计）</w:t>
            </w: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不含税</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单价</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（元）</w:t>
            </w: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417FF9"/>
                <w:highlight w:val="none"/>
                <w:lang w:val="en-US" w:eastAsia="zh-CN"/>
              </w:rPr>
            </w:pPr>
            <w:r>
              <w:rPr>
                <w:rFonts w:hint="eastAsia"/>
                <w:b/>
                <w:bCs/>
                <w:color w:val="auto"/>
                <w:lang w:val="en-US" w:eastAsia="zh-CN"/>
              </w:rPr>
              <w:t>不含税</w:t>
            </w:r>
            <w:r>
              <w:rPr>
                <w:rFonts w:hint="eastAsia"/>
                <w:b/>
                <w:bCs/>
                <w:color w:val="auto"/>
                <w:highlight w:val="none"/>
                <w:lang w:val="en-US" w:eastAsia="zh-CN"/>
              </w:rPr>
              <w:t>总价（元）</w:t>
            </w:r>
          </w:p>
        </w:tc>
        <w:tc>
          <w:tcPr>
            <w:tcW w:w="76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税率</w:t>
            </w:r>
          </w:p>
        </w:tc>
        <w:tc>
          <w:tcPr>
            <w:tcW w:w="1434"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Theme="minorEastAsia"/>
                <w:b/>
                <w:bCs/>
                <w:color w:val="auto"/>
                <w:lang w:val="en-US" w:eastAsia="zh-CN"/>
              </w:rPr>
            </w:pPr>
            <w:r>
              <w:rPr>
                <w:rFonts w:hint="eastAsia" w:ascii="Times New Roman" w:hAnsi="Times New Roman" w:eastAsia="仿宋_GB2312"/>
                <w:sz w:val="21"/>
                <w:szCs w:val="21"/>
                <w:vertAlign w:val="baseline"/>
                <w:lang w:val="en-US" w:eastAsia="zh-CN"/>
              </w:rPr>
              <w:t>主机清理</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cstheme="minorBidi"/>
                <w:b/>
                <w:bCs/>
                <w:color w:val="auto"/>
                <w:kern w:val="2"/>
                <w:sz w:val="21"/>
                <w:szCs w:val="24"/>
                <w:lang w:val="en-US" w:eastAsia="zh-CN" w:bidi="ar-SA"/>
              </w:rPr>
              <w:t>次</w:t>
            </w:r>
          </w:p>
        </w:tc>
        <w:tc>
          <w:tcPr>
            <w:tcW w:w="82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12</w:t>
            </w: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restar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b w:val="0"/>
                <w:bCs w:val="0"/>
                <w:color w:val="auto"/>
                <w:sz w:val="15"/>
                <w:szCs w:val="15"/>
                <w:lang w:val="en-US" w:eastAsia="zh-CN"/>
              </w:rPr>
            </w:pPr>
            <w:r>
              <w:rPr>
                <w:rFonts w:hint="eastAsia"/>
                <w:b w:val="0"/>
                <w:bCs w:val="0"/>
                <w:color w:val="auto"/>
                <w:sz w:val="15"/>
                <w:szCs w:val="15"/>
                <w:lang w:val="en-US" w:eastAsia="zh-CN"/>
              </w:rPr>
              <w:t>1.本项目合作期限为一年（自合同签订生效之日起），按甲方现场负责人确认验收完成并签字验收。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asciiTheme="minorHAnsi" w:hAnsiTheme="minorHAnsi" w:eastAsiaTheme="minorEastAsia" w:cstheme="minorBidi"/>
                <w:b w:val="0"/>
                <w:bCs w:val="0"/>
                <w:kern w:val="2"/>
                <w:sz w:val="15"/>
                <w:szCs w:val="15"/>
                <w:lang w:val="en-US" w:eastAsia="zh-CN" w:bidi="ar-SA"/>
              </w:rPr>
            </w:pPr>
            <w:r>
              <w:rPr>
                <w:rFonts w:hint="eastAsia"/>
                <w:b w:val="0"/>
                <w:bCs w:val="0"/>
                <w:color w:val="auto"/>
                <w:sz w:val="15"/>
                <w:szCs w:val="15"/>
                <w:lang w:val="en-US" w:eastAsia="zh-CN"/>
              </w:rPr>
              <w:t>2.中选单位应做好作业期间的安全、环保保障措施。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水泵维修更换</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按实际需求计数</w:t>
            </w: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外加剂泵维修更换</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4</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外加剂管道维修更换</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5</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外加剂罐维修更换</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6</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螺旋上料系统维修更换</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7</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潜水泵维修更换</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8</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平皮带维修保养</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9</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斜皮带维修保养</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10</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料仓维护保养</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11</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筒仓维护保养</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12</w:t>
            </w:r>
          </w:p>
        </w:tc>
        <w:tc>
          <w:tcPr>
            <w:tcW w:w="23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ascii="Times New Roman" w:hAnsi="Times New Roman" w:eastAsia="仿宋_GB2312"/>
                <w:sz w:val="21"/>
                <w:szCs w:val="21"/>
                <w:vertAlign w:val="baseline"/>
                <w:lang w:val="en-US" w:eastAsia="zh-CN"/>
              </w:rPr>
              <w:t>筒仓维护保养</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HZN180</w:t>
            </w:r>
          </w:p>
        </w:tc>
        <w:tc>
          <w:tcPr>
            <w:tcW w:w="5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次</w:t>
            </w:r>
          </w:p>
        </w:tc>
        <w:tc>
          <w:tcPr>
            <w:tcW w:w="822"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p>
        </w:tc>
        <w:tc>
          <w:tcPr>
            <w:tcW w:w="120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04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417FF9"/>
                <w:highlight w:val="none"/>
                <w:lang w:val="en-US" w:eastAsia="zh-CN"/>
              </w:rPr>
            </w:pPr>
          </w:p>
        </w:tc>
        <w:tc>
          <w:tcPr>
            <w:tcW w:w="76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lang w:val="en-US" w:eastAsia="zh-CN"/>
              </w:rPr>
            </w:pPr>
          </w:p>
        </w:tc>
        <w:tc>
          <w:tcPr>
            <w:tcW w:w="1434" w:type="dxa"/>
            <w:gridSpan w:val="2"/>
            <w:vMerge w:val="continue"/>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b w:val="0"/>
                <w:bCs w:val="0"/>
                <w:color w:val="auto"/>
                <w:sz w:val="15"/>
                <w:szCs w:val="15"/>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940"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总报价（不含税）</w:t>
            </w:r>
          </w:p>
        </w:tc>
        <w:tc>
          <w:tcPr>
            <w:tcW w:w="945"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合计（元）</w:t>
            </w:r>
          </w:p>
        </w:tc>
        <w:tc>
          <w:tcPr>
            <w:tcW w:w="4470" w:type="dxa"/>
            <w:gridSpan w:val="6"/>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val="en-US" w:eastAsia="zh-CN"/>
              </w:rPr>
            </w:pPr>
            <w:r>
              <w:rPr>
                <w:rFonts w:hint="eastAsia"/>
                <w:b/>
                <w:bCs/>
                <w:color w:val="auto"/>
                <w:lang w:val="en-US" w:eastAsia="zh-CN"/>
              </w:rPr>
              <w:t>小写：</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94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
                <w:bCs/>
                <w:color w:val="auto"/>
                <w:sz w:val="21"/>
                <w:szCs w:val="21"/>
                <w:lang w:val="en-US" w:eastAsia="zh-CN"/>
              </w:rPr>
            </w:pPr>
          </w:p>
        </w:tc>
        <w:tc>
          <w:tcPr>
            <w:tcW w:w="945" w:type="dxa"/>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4470" w:type="dxa"/>
            <w:gridSpan w:val="6"/>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val="en-US" w:eastAsia="zh-CN"/>
              </w:rPr>
            </w:pPr>
            <w:r>
              <w:rPr>
                <w:rFonts w:hint="eastAsia"/>
                <w:b/>
                <w:bCs/>
                <w:color w:val="auto"/>
                <w:lang w:val="en-US" w:eastAsia="zh-CN"/>
              </w:rPr>
              <w:t>大写：</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3885"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备注</w:t>
            </w:r>
          </w:p>
        </w:tc>
        <w:tc>
          <w:tcPr>
            <w:tcW w:w="4470" w:type="dxa"/>
            <w:gridSpan w:val="6"/>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以上报价包含技术方案。报价应是最终用户验收合格后的总价，包括人工费等费用以及一切其它相关费用。</w:t>
            </w:r>
          </w:p>
        </w:tc>
        <w:tc>
          <w:tcPr>
            <w:tcW w:w="132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lang w:eastAsia="zh-CN"/>
        </w:rPr>
      </w:pPr>
      <w:r>
        <w:rPr>
          <w:rFonts w:hint="eastAsia" w:ascii="楷体" w:hAnsi="楷体" w:eastAsia="楷体" w:cs="楷体"/>
          <w:b/>
          <w:bCs/>
          <w:sz w:val="28"/>
          <w:szCs w:val="28"/>
          <w:u w:val="none"/>
        </w:rPr>
        <w:t>注：</w:t>
      </w:r>
      <w:r>
        <w:rPr>
          <w:rFonts w:hint="eastAsia" w:ascii="楷体" w:hAnsi="楷体" w:eastAsia="楷体" w:cs="楷体"/>
          <w:b/>
          <w:bCs/>
          <w:sz w:val="28"/>
          <w:szCs w:val="28"/>
          <w:u w:val="none"/>
          <w:lang w:val="en-US" w:eastAsia="zh-CN"/>
        </w:rPr>
        <w:t>1.上述</w:t>
      </w:r>
      <w:r>
        <w:rPr>
          <w:rFonts w:hint="eastAsia" w:ascii="楷体" w:hAnsi="楷体" w:eastAsia="楷体" w:cs="楷体"/>
          <w:b/>
          <w:bCs/>
          <w:sz w:val="28"/>
          <w:szCs w:val="28"/>
          <w:u w:val="none"/>
        </w:rPr>
        <w:t>报价</w:t>
      </w:r>
      <w:r>
        <w:rPr>
          <w:rFonts w:hint="eastAsia" w:ascii="楷体" w:hAnsi="楷体" w:eastAsia="楷体" w:cs="楷体"/>
          <w:b/>
          <w:bCs/>
          <w:sz w:val="28"/>
          <w:szCs w:val="28"/>
          <w:u w:val="none"/>
          <w:lang w:eastAsia="zh-CN"/>
        </w:rPr>
        <w:t>应</w:t>
      </w:r>
      <w:r>
        <w:rPr>
          <w:rFonts w:hint="eastAsia" w:ascii="楷体" w:hAnsi="楷体" w:eastAsia="楷体" w:cs="楷体"/>
          <w:b/>
          <w:bCs/>
          <w:sz w:val="28"/>
          <w:szCs w:val="28"/>
          <w:u w:val="none"/>
        </w:rPr>
        <w:t>是最终总价，包括人工费等费用以及一切其它相关费用。</w:t>
      </w:r>
      <w:r>
        <w:rPr>
          <w:rFonts w:hint="eastAsia" w:ascii="楷体" w:hAnsi="楷体" w:eastAsia="楷体" w:cs="楷体"/>
          <w:b/>
          <w:bCs/>
          <w:sz w:val="28"/>
          <w:szCs w:val="28"/>
          <w:u w:val="none"/>
          <w:lang w:val="en-US" w:eastAsia="zh-CN"/>
        </w:rPr>
        <w:t>2.报价作为评审依据，应包含所有让利或折扣。其他优惠条件（如实物赠送等）在评审时均不予考虑。3.</w:t>
      </w:r>
      <w:r>
        <w:rPr>
          <w:rFonts w:hint="eastAsia" w:ascii="楷体" w:hAnsi="楷体" w:eastAsia="楷体" w:cs="楷体"/>
          <w:b/>
          <w:bCs/>
          <w:sz w:val="28"/>
          <w:szCs w:val="28"/>
          <w:u w:val="none"/>
          <w:lang w:eastAsia="zh-CN"/>
        </w:rPr>
        <w:t>如分项报价之和</w:t>
      </w:r>
      <w:r>
        <w:rPr>
          <w:rFonts w:hint="eastAsia" w:ascii="楷体" w:hAnsi="楷体" w:eastAsia="楷体" w:cs="楷体"/>
          <w:b/>
          <w:bCs/>
          <w:sz w:val="28"/>
          <w:szCs w:val="28"/>
          <w:u w:val="none"/>
        </w:rPr>
        <w:t>与所报总价不一致</w:t>
      </w:r>
      <w:r>
        <w:rPr>
          <w:rFonts w:hint="eastAsia" w:ascii="楷体" w:hAnsi="楷体" w:eastAsia="楷体" w:cs="楷体"/>
          <w:b/>
          <w:bCs/>
          <w:sz w:val="28"/>
          <w:szCs w:val="28"/>
          <w:u w:val="none"/>
          <w:lang w:eastAsia="zh-CN"/>
        </w:rPr>
        <w:t>时</w:t>
      </w:r>
      <w:r>
        <w:rPr>
          <w:rFonts w:hint="eastAsia" w:ascii="楷体" w:hAnsi="楷体" w:eastAsia="楷体" w:cs="楷体"/>
          <w:b/>
          <w:bCs/>
          <w:sz w:val="28"/>
          <w:szCs w:val="28"/>
          <w:u w:val="none"/>
        </w:rPr>
        <w:t>，</w:t>
      </w:r>
      <w:r>
        <w:rPr>
          <w:rFonts w:hint="eastAsia" w:ascii="楷体" w:hAnsi="楷体" w:eastAsia="楷体" w:cs="楷体"/>
          <w:b/>
          <w:bCs/>
          <w:sz w:val="28"/>
          <w:szCs w:val="28"/>
          <w:u w:val="none"/>
          <w:lang w:eastAsia="zh-CN"/>
        </w:rPr>
        <w:t>以总价为准。</w:t>
      </w:r>
    </w:p>
    <w:p>
      <w:pPr>
        <w:spacing w:line="360" w:lineRule="auto"/>
        <w:rPr>
          <w:rFonts w:hint="eastAsia" w:ascii="仿宋" w:hAnsi="仿宋" w:eastAsia="仿宋" w:cs="仿宋"/>
          <w:sz w:val="32"/>
          <w:szCs w:val="32"/>
        </w:rPr>
      </w:pPr>
      <w:r>
        <w:rPr>
          <w:rFonts w:hint="eastAsia" w:ascii="仿宋" w:hAnsi="仿宋" w:eastAsia="仿宋" w:cs="仿宋"/>
          <w:sz w:val="32"/>
          <w:szCs w:val="32"/>
          <w:lang w:eastAsia="zh-CN"/>
        </w:rPr>
        <w:t>报价</w:t>
      </w:r>
      <w:r>
        <w:rPr>
          <w:rFonts w:hint="eastAsia" w:ascii="仿宋" w:hAnsi="仿宋" w:eastAsia="仿宋" w:cs="仿宋"/>
          <w:sz w:val="32"/>
          <w:szCs w:val="32"/>
        </w:rPr>
        <w:t>人名称：</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360" w:lineRule="auto"/>
        <w:rPr>
          <w:rFonts w:hint="eastAsia" w:ascii="仿宋" w:hAnsi="仿宋" w:eastAsia="仿宋" w:cs="仿宋"/>
          <w:sz w:val="32"/>
          <w:szCs w:val="32"/>
        </w:rPr>
      </w:pPr>
      <w:r>
        <w:rPr>
          <w:rFonts w:hint="eastAsia" w:ascii="仿宋" w:hAnsi="仿宋" w:eastAsia="仿宋" w:cs="仿宋"/>
          <w:sz w:val="32"/>
          <w:szCs w:val="32"/>
        </w:rPr>
        <w:t>法定代表人或其委托代理人：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（签字）</w:t>
      </w:r>
    </w:p>
    <w:p>
      <w:pPr>
        <w:spacing w:line="360" w:lineRule="auto"/>
        <w:ind w:firstLine="3200" w:firstLineChars="1000"/>
        <w:rPr>
          <w:rFonts w:hint="eastAsia"/>
          <w:lang w:val="en-US" w:eastAsia="zh-CN"/>
        </w:rPr>
      </w:pP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附件2</w:t>
      </w:r>
    </w:p>
    <w:p>
      <w:pPr>
        <w:rPr>
          <w:rFonts w:hint="eastAsia"/>
          <w:lang w:val="en-US" w:eastAsia="zh-CN"/>
        </w:rPr>
      </w:pPr>
    </w:p>
    <w:p>
      <w:pPr>
        <w:pStyle w:val="2"/>
        <w:jc w:val="center"/>
        <w:rPr>
          <w:rFonts w:hint="eastAsia"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其他证明材料</w:t>
      </w:r>
    </w:p>
    <w:p>
      <w:pPr>
        <w:pStyle w:val="2"/>
        <w:jc w:val="left"/>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仿宋" w:hAnsi="仿宋" w:eastAsia="仿宋" w:cs="仿宋"/>
          <w:b w:val="0"/>
          <w:bCs/>
          <w:kern w:val="2"/>
          <w:sz w:val="32"/>
          <w:szCs w:val="32"/>
          <w:lang w:val="en-US" w:eastAsia="zh-CN" w:bidi="ar-SA"/>
        </w:rPr>
        <w:t>包括但不限于</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法人营业执照(副本)、银行基本账户信息、资质证书、近三年类似项目业绩证明材料等的复印件。所有资料应加盖公章。</w:t>
      </w: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附件3</w:t>
      </w: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搅拌站年度维修服务明细</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910"/>
        <w:gridCol w:w="6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序号</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项目名称</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项目内容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1</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主机清理</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主机内部残留砼渣、主机进口管道疏通、主机下料斗砼渣清理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2</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水泵维修更换</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水秤出口至搅拌主机管道泵更换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3</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外加剂泵维修更换</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外加剂上料泵泄漏及损坏故障处理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4</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外加剂管道维修更换</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外加剂上料管道泄漏处理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5</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外加剂罐维修更换</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外加剂罐出口连接头泄漏更换及外加剂罐本体泄漏更换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6</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螺旋上料系统维修更换</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螺旋上料系统故障处理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7</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潜水泵维修更换</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生产用水、辅助用水所使用的潜水泵维修更换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8</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平皮带维修保养</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平皮带检查维护、托辊更换、防跑偏装置更换、主动轮、从动轮更换、皮带更换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9</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斜皮带维修保养</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斜皮带检查维护、托辊更换、主动轮、从动轮更换、皮带更换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10</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料仓维护保养</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料仓钢结构检查维修，开关门机构检查维修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11</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筒仓维护保养</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筒仓上料管检查维修，仓顶除尘器检查维护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pStyle w:val="2"/>
              <w:jc w:val="center"/>
              <w:rPr>
                <w:rFonts w:hint="default"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12</w:t>
            </w:r>
          </w:p>
        </w:tc>
        <w:tc>
          <w:tcPr>
            <w:tcW w:w="1910"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气路管道检查维护</w:t>
            </w:r>
          </w:p>
        </w:tc>
        <w:tc>
          <w:tcPr>
            <w:tcW w:w="6362" w:type="dxa"/>
            <w:vAlign w:val="center"/>
          </w:tcPr>
          <w:p>
            <w:pPr>
              <w:pStyle w:val="2"/>
              <w:jc w:val="center"/>
              <w:rPr>
                <w:rFonts w:hint="eastAsia" w:ascii="Times New Roman" w:hAnsi="Times New Roman" w:eastAsia="仿宋_GB2312"/>
                <w:sz w:val="21"/>
                <w:szCs w:val="21"/>
                <w:vertAlign w:val="baseline"/>
                <w:lang w:val="en-US" w:eastAsia="zh-CN"/>
              </w:rPr>
            </w:pPr>
            <w:r>
              <w:rPr>
                <w:rFonts w:hint="eastAsia" w:ascii="Times New Roman" w:hAnsi="Times New Roman" w:eastAsia="仿宋_GB2312"/>
                <w:sz w:val="21"/>
                <w:szCs w:val="21"/>
                <w:vertAlign w:val="baseline"/>
                <w:lang w:val="en-US" w:eastAsia="zh-CN"/>
              </w:rPr>
              <w:t>气源管道检查更换，汽水分离器检查更换</w:t>
            </w:r>
          </w:p>
        </w:tc>
      </w:tr>
    </w:tbl>
    <w:p>
      <w:pPr>
        <w:pStyle w:val="2"/>
        <w:rPr>
          <w:rFonts w:hint="eastAsia"/>
          <w:lang w:val="en-US" w:eastAsia="zh-CN"/>
        </w:rPr>
      </w:pPr>
    </w:p>
    <w:p>
      <w:pPr>
        <w:pStyle w:val="2"/>
        <w:rPr>
          <w:rFonts w:hint="default"/>
          <w:lang w:val="en-US" w:eastAsia="zh-CN"/>
        </w:rPr>
      </w:pPr>
    </w:p>
    <w:sectPr>
      <w:headerReference r:id="rId3" w:type="default"/>
      <w:footerReference r:id="rId4" w:type="default"/>
      <w:pgSz w:w="11906" w:h="16838"/>
      <w:pgMar w:top="1984"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7506075-464E-4F1A-BE17-9DFF15A4435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78DE368-BF78-4816-9362-7C40E348855F}"/>
  </w:font>
  <w:font w:name="仿宋_GB2312">
    <w:panose1 w:val="02010609030101010101"/>
    <w:charset w:val="86"/>
    <w:family w:val="auto"/>
    <w:pitch w:val="default"/>
    <w:sig w:usb0="00000001" w:usb1="080E0000" w:usb2="00000000" w:usb3="00000000" w:csb0="00040000" w:csb1="00000000"/>
    <w:embedRegular r:id="rId3" w:fontKey="{5E7C9641-3F00-4D41-AE46-3B17A7331366}"/>
  </w:font>
  <w:font w:name="方正小标宋简体">
    <w:panose1 w:val="02000000000000000000"/>
    <w:charset w:val="86"/>
    <w:family w:val="auto"/>
    <w:pitch w:val="default"/>
    <w:sig w:usb0="00000001" w:usb1="08000000" w:usb2="00000000" w:usb3="00000000" w:csb0="00040000" w:csb1="00000000"/>
    <w:embedRegular r:id="rId4" w:fontKey="{933C53E2-BA6F-4F3A-85A8-CB89A7D46DFA}"/>
  </w:font>
  <w:font w:name="方正仿宋_GBK">
    <w:panose1 w:val="02000000000000000000"/>
    <w:charset w:val="86"/>
    <w:family w:val="auto"/>
    <w:pitch w:val="default"/>
    <w:sig w:usb0="A00002BF" w:usb1="38CF7CFA" w:usb2="00082016" w:usb3="00000000" w:csb0="00040001" w:csb1="00000000"/>
    <w:embedRegular r:id="rId5" w:fontKey="{9BA04868-6D17-49AE-8486-368E5B157EC3}"/>
  </w:font>
  <w:font w:name="方正仿宋简体">
    <w:panose1 w:val="02000000000000000000"/>
    <w:charset w:val="86"/>
    <w:family w:val="auto"/>
    <w:pitch w:val="default"/>
    <w:sig w:usb0="A00002BF" w:usb1="184F6CFA" w:usb2="00000012" w:usb3="00000000" w:csb0="00040001" w:csb1="00000000"/>
    <w:embedRegular r:id="rId6" w:fontKey="{929B407B-7E28-4615-9703-B57198B62B1F}"/>
  </w:font>
  <w:font w:name="仿宋">
    <w:panose1 w:val="02010609060101010101"/>
    <w:charset w:val="86"/>
    <w:family w:val="auto"/>
    <w:pitch w:val="default"/>
    <w:sig w:usb0="800002BF" w:usb1="38CF7CFA" w:usb2="00000016" w:usb3="00000000" w:csb0="00040001" w:csb1="00000000"/>
    <w:embedRegular r:id="rId7" w:fontKey="{029F9759-44E5-4F39-A2E9-028C6936C74A}"/>
  </w:font>
  <w:font w:name="楷体">
    <w:panose1 w:val="02010609060101010101"/>
    <w:charset w:val="86"/>
    <w:family w:val="auto"/>
    <w:pitch w:val="default"/>
    <w:sig w:usb0="800002BF" w:usb1="38CF7CFA" w:usb2="00000016" w:usb3="00000000" w:csb0="00040001" w:csb1="00000000"/>
    <w:embedRegular r:id="rId8" w:fontKey="{7439C4B2-A4DC-42D4-91A0-917F5FF31650}"/>
  </w:font>
  <w:font w:name="方正小标宋_GBK">
    <w:panose1 w:val="02000000000000000000"/>
    <w:charset w:val="86"/>
    <w:family w:val="auto"/>
    <w:pitch w:val="default"/>
    <w:sig w:usb0="A00002BF" w:usb1="38CF7CFA" w:usb2="00082016" w:usb3="00000000" w:csb0="00040001" w:csb1="00000000"/>
    <w:embedRegular r:id="rId9" w:fontKey="{C54259DA-ED07-4900-B39F-36C2C3ADDC8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w:drawing>
        <wp:inline distT="0" distB="0" distL="114300" distR="114300">
          <wp:extent cx="1628775" cy="373380"/>
          <wp:effectExtent l="0" t="0" r="9525" b="7620"/>
          <wp:docPr id="3" name="图片 3" descr="精益至信 求是创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精益至信 求是创新"/>
                  <pic:cNvPicPr>
                    <a:picLocks noChangeAspect="1"/>
                  </pic:cNvPicPr>
                </pic:nvPicPr>
                <pic:blipFill>
                  <a:blip r:embed="rId1"/>
                  <a:stretch>
                    <a:fillRect/>
                  </a:stretch>
                </pic:blipFill>
                <pic:spPr>
                  <a:xfrm>
                    <a:off x="0" y="0"/>
                    <a:ext cx="1628775" cy="373380"/>
                  </a:xfrm>
                  <a:prstGeom prst="rect">
                    <a:avLst/>
                  </a:prstGeom>
                </pic:spPr>
              </pic:pic>
            </a:graphicData>
          </a:graphic>
        </wp:inline>
      </w:drawing>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hint="default" w:ascii="Times New Roman" w:hAnsi="Times New Roman" w:cs="Times New Roman" w:eastAsiaTheme="minorEastAsia"/>
        <w:sz w:val="16"/>
        <w:szCs w:val="16"/>
        <w:lang w:val="en-US" w:eastAsia="zh-CN"/>
      </w:rPr>
    </w:pPr>
    <w:r>
      <w:rPr>
        <w:rFonts w:hint="eastAsia" w:eastAsiaTheme="minorEastAsia"/>
        <w:lang w:eastAsia="zh-CN"/>
      </w:rPr>
      <w:drawing>
        <wp:inline distT="0" distB="0" distL="114300" distR="114300">
          <wp:extent cx="1029970" cy="236855"/>
          <wp:effectExtent l="0" t="0" r="17780" b="10795"/>
          <wp:docPr id="1" name="图片 1" descr="兴泸建科 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兴泸建科 页眉"/>
                  <pic:cNvPicPr>
                    <a:picLocks noChangeAspect="1"/>
                  </pic:cNvPicPr>
                </pic:nvPicPr>
                <pic:blipFill>
                  <a:blip r:embed="rId1"/>
                  <a:stretch>
                    <a:fillRect/>
                  </a:stretch>
                </pic:blipFill>
                <pic:spPr>
                  <a:xfrm>
                    <a:off x="0" y="0"/>
                    <a:ext cx="1029970" cy="236855"/>
                  </a:xfrm>
                  <a:prstGeom prst="rect">
                    <a:avLst/>
                  </a:prstGeom>
                </pic:spPr>
              </pic:pic>
            </a:graphicData>
          </a:graphic>
        </wp:inline>
      </w:drawing>
    </w:r>
    <w:r>
      <w:rPr>
        <w:rFonts w:hint="eastAsia"/>
        <w:lang w:val="en-US" w:eastAsia="zh-CN"/>
      </w:rPr>
      <w:t xml:space="preserve">                                                  </w:t>
    </w:r>
    <w:r>
      <w:rPr>
        <w:rFonts w:hint="eastAsia" w:ascii="Times New Roman" w:hAnsi="Times New Roman" w:eastAsia="仿宋_GB2312" w:cs="Times New Roman"/>
        <w:sz w:val="28"/>
        <w:szCs w:val="36"/>
        <w:u w:val="none"/>
        <w:lang w:val="en-US" w:eastAsia="zh-CN"/>
      </w:rPr>
      <w:t xml:space="preserve"> XLJK-XJ-2022042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MTM2OTU3YWJiMzk0NDVkMjhjZThlODY4M2M2ZDYifQ=="/>
  </w:docVars>
  <w:rsids>
    <w:rsidRoot w:val="04BF43EC"/>
    <w:rsid w:val="01C179C0"/>
    <w:rsid w:val="035C4F03"/>
    <w:rsid w:val="04BF43EC"/>
    <w:rsid w:val="07971A19"/>
    <w:rsid w:val="083A4496"/>
    <w:rsid w:val="0AC02D3A"/>
    <w:rsid w:val="0BC4211B"/>
    <w:rsid w:val="0C8D450E"/>
    <w:rsid w:val="0CDA2E5C"/>
    <w:rsid w:val="0E4A2FAF"/>
    <w:rsid w:val="0E844472"/>
    <w:rsid w:val="10646D78"/>
    <w:rsid w:val="13CF471F"/>
    <w:rsid w:val="198774D4"/>
    <w:rsid w:val="1C977094"/>
    <w:rsid w:val="1E9744E9"/>
    <w:rsid w:val="1FCD091D"/>
    <w:rsid w:val="21B5097A"/>
    <w:rsid w:val="24FA39BF"/>
    <w:rsid w:val="25492BB9"/>
    <w:rsid w:val="269012BF"/>
    <w:rsid w:val="28A179E9"/>
    <w:rsid w:val="29393C19"/>
    <w:rsid w:val="299D779B"/>
    <w:rsid w:val="29B9292D"/>
    <w:rsid w:val="2AE05ACC"/>
    <w:rsid w:val="2C537E0B"/>
    <w:rsid w:val="2DEF786B"/>
    <w:rsid w:val="2E4E0D69"/>
    <w:rsid w:val="32ED0C8A"/>
    <w:rsid w:val="3481393C"/>
    <w:rsid w:val="369117B0"/>
    <w:rsid w:val="373351CC"/>
    <w:rsid w:val="3A360AA6"/>
    <w:rsid w:val="3CD85FC1"/>
    <w:rsid w:val="3CDA7388"/>
    <w:rsid w:val="3DF5009A"/>
    <w:rsid w:val="3EFA7A7A"/>
    <w:rsid w:val="3F9609E4"/>
    <w:rsid w:val="414F227F"/>
    <w:rsid w:val="41B423AB"/>
    <w:rsid w:val="42070B9A"/>
    <w:rsid w:val="471B6EA2"/>
    <w:rsid w:val="4A613F44"/>
    <w:rsid w:val="4C4A5B91"/>
    <w:rsid w:val="537B75A2"/>
    <w:rsid w:val="564F3F0B"/>
    <w:rsid w:val="56EC2626"/>
    <w:rsid w:val="5C4362A1"/>
    <w:rsid w:val="62AF62D8"/>
    <w:rsid w:val="65C14CD2"/>
    <w:rsid w:val="66793096"/>
    <w:rsid w:val="67B473AA"/>
    <w:rsid w:val="67CC1623"/>
    <w:rsid w:val="6BA61D00"/>
    <w:rsid w:val="6C032C6D"/>
    <w:rsid w:val="6E8A7FB4"/>
    <w:rsid w:val="722F2561"/>
    <w:rsid w:val="73B01592"/>
    <w:rsid w:val="754361EB"/>
    <w:rsid w:val="760374FD"/>
    <w:rsid w:val="766E790A"/>
    <w:rsid w:val="7AA72012"/>
    <w:rsid w:val="7BFD5343"/>
    <w:rsid w:val="BE5BF93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4"/>
    <w:qFormat/>
    <w:uiPriority w:val="0"/>
    <w:pPr>
      <w:keepNext/>
      <w:keepLines/>
      <w:spacing w:before="260" w:after="260" w:line="415" w:lineRule="auto"/>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4">
    <w:name w:val="Normal Indent"/>
    <w:basedOn w:val="1"/>
    <w:qFormat/>
    <w:uiPriority w:val="0"/>
    <w:pPr>
      <w:overflowPunct w:val="0"/>
      <w:spacing w:line="360" w:lineRule="auto"/>
      <w:ind w:firstLine="420"/>
    </w:pPr>
    <w:rPr>
      <w:rFonts w:ascii="宋体" w:hAnsi="宋体" w:eastAsia="仿宋_GB2312"/>
      <w:sz w:val="24"/>
      <w:szCs w:val="20"/>
    </w:rPr>
  </w:style>
  <w:style w:type="paragraph" w:styleId="5">
    <w:name w:val="Body Text Indent"/>
    <w:basedOn w:val="1"/>
    <w:qFormat/>
    <w:uiPriority w:val="0"/>
    <w:pPr>
      <w:ind w:firstLine="600"/>
    </w:pPr>
    <w:rPr>
      <w:sz w:val="32"/>
      <w:szCs w:val="20"/>
    </w:rPr>
  </w:style>
  <w:style w:type="paragraph" w:styleId="6">
    <w:name w:val="Plain Text"/>
    <w:basedOn w:val="1"/>
    <w:qFormat/>
    <w:uiPriority w:val="0"/>
    <w:rPr>
      <w:rFonts w:ascii="宋体" w:hAnsi="Courier New" w:cs="Courier New"/>
      <w:sz w:val="21"/>
      <w:szCs w:val="21"/>
    </w:rPr>
  </w:style>
  <w:style w:type="paragraph" w:styleId="7">
    <w:name w:val="footer"/>
    <w:basedOn w:val="1"/>
    <w:qFormat/>
    <w:uiPriority w:val="0"/>
    <w:pPr>
      <w:tabs>
        <w:tab w:val="center" w:pos="4153"/>
        <w:tab w:val="right" w:pos="8306"/>
      </w:tabs>
      <w:snapToGrid w:val="0"/>
      <w:jc w:val="left"/>
    </w:pPr>
    <w:rPr>
      <w:kern w:val="2"/>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9">
    <w:name w:val="Body Text 2"/>
    <w:basedOn w:val="1"/>
    <w:qFormat/>
    <w:uiPriority w:val="0"/>
    <w:pPr>
      <w:spacing w:line="300" w:lineRule="exact"/>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FollowedHyperlink"/>
    <w:basedOn w:val="13"/>
    <w:qFormat/>
    <w:uiPriority w:val="0"/>
    <w:rPr>
      <w:color w:val="333333"/>
      <w:u w:val="none"/>
    </w:rPr>
  </w:style>
  <w:style w:type="character" w:styleId="16">
    <w:name w:val="Hyperlink"/>
    <w:basedOn w:val="13"/>
    <w:qFormat/>
    <w:uiPriority w:val="0"/>
    <w:rPr>
      <w:color w:val="333333"/>
      <w:u w:val="none"/>
    </w:rPr>
  </w:style>
  <w:style w:type="character" w:customStyle="1" w:styleId="17">
    <w:name w:val="baike-info-value"/>
    <w:basedOn w:val="13"/>
    <w:qFormat/>
    <w:uiPriority w:val="0"/>
  </w:style>
  <w:style w:type="character" w:customStyle="1" w:styleId="18">
    <w:name w:val="item-name"/>
    <w:basedOn w:val="13"/>
    <w:qFormat/>
    <w:uiPriority w:val="0"/>
  </w:style>
  <w:style w:type="character" w:customStyle="1" w:styleId="19">
    <w:name w:val="item-name1"/>
    <w:basedOn w:val="13"/>
    <w:qFormat/>
    <w:uiPriority w:val="0"/>
  </w:style>
  <w:style w:type="character" w:customStyle="1" w:styleId="20">
    <w:name w:val="item-name2"/>
    <w:basedOn w:val="13"/>
    <w:qFormat/>
    <w:uiPriority w:val="0"/>
  </w:style>
  <w:style w:type="character" w:customStyle="1" w:styleId="21">
    <w:name w:val="item-name3"/>
    <w:basedOn w:val="13"/>
    <w:qFormat/>
    <w:uiPriority w:val="0"/>
  </w:style>
  <w:style w:type="character" w:customStyle="1" w:styleId="22">
    <w:name w:val="item-name4"/>
    <w:basedOn w:val="13"/>
    <w:qFormat/>
    <w:uiPriority w:val="0"/>
  </w:style>
  <w:style w:type="character" w:customStyle="1" w:styleId="23">
    <w:name w:val="item-name5"/>
    <w:basedOn w:val="13"/>
    <w:qFormat/>
    <w:uiPriority w:val="0"/>
  </w:style>
  <w:style w:type="character" w:customStyle="1" w:styleId="24">
    <w:name w:val="item-name6"/>
    <w:basedOn w:val="13"/>
    <w:qFormat/>
    <w:uiPriority w:val="0"/>
  </w:style>
  <w:style w:type="character" w:customStyle="1" w:styleId="25">
    <w:name w:val="item-name7"/>
    <w:basedOn w:val="13"/>
    <w:qFormat/>
    <w:uiPriority w:val="0"/>
  </w:style>
  <w:style w:type="character" w:customStyle="1" w:styleId="26">
    <w:name w:val="item-name8"/>
    <w:basedOn w:val="13"/>
    <w:qFormat/>
    <w:uiPriority w:val="0"/>
    <w:rPr>
      <w:vanish/>
    </w:rPr>
  </w:style>
  <w:style w:type="character" w:customStyle="1" w:styleId="27">
    <w:name w:val="item-name9"/>
    <w:basedOn w:val="13"/>
    <w:qFormat/>
    <w:uiPriority w:val="0"/>
    <w:rPr>
      <w:vanish/>
    </w:rPr>
  </w:style>
  <w:style w:type="character" w:customStyle="1" w:styleId="28">
    <w:name w:val="item-name10"/>
    <w:basedOn w:val="13"/>
    <w:qFormat/>
    <w:uiPriority w:val="0"/>
  </w:style>
  <w:style w:type="character" w:customStyle="1" w:styleId="29">
    <w:name w:val="news_title"/>
    <w:basedOn w:val="13"/>
    <w:qFormat/>
    <w:uiPriority w:val="0"/>
  </w:style>
  <w:style w:type="character" w:customStyle="1" w:styleId="30">
    <w:name w:val="column-name12"/>
    <w:basedOn w:val="13"/>
    <w:qFormat/>
    <w:uiPriority w:val="0"/>
    <w:rPr>
      <w:color w:val="124D83"/>
    </w:rPr>
  </w:style>
  <w:style w:type="character" w:customStyle="1" w:styleId="31">
    <w:name w:val="column-name13"/>
    <w:basedOn w:val="13"/>
    <w:qFormat/>
    <w:uiPriority w:val="0"/>
    <w:rPr>
      <w:color w:val="124D83"/>
    </w:rPr>
  </w:style>
  <w:style w:type="character" w:customStyle="1" w:styleId="32">
    <w:name w:val="column-name14"/>
    <w:basedOn w:val="13"/>
    <w:qFormat/>
    <w:uiPriority w:val="0"/>
    <w:rPr>
      <w:color w:val="124D83"/>
    </w:rPr>
  </w:style>
  <w:style w:type="character" w:customStyle="1" w:styleId="33">
    <w:name w:val="column-name15"/>
    <w:basedOn w:val="13"/>
    <w:qFormat/>
    <w:uiPriority w:val="0"/>
    <w:rPr>
      <w:color w:val="124D83"/>
    </w:rPr>
  </w:style>
  <w:style w:type="character" w:customStyle="1" w:styleId="34">
    <w:name w:val="column-name16"/>
    <w:basedOn w:val="13"/>
    <w:qFormat/>
    <w:uiPriority w:val="0"/>
    <w:rPr>
      <w:color w:val="124D83"/>
    </w:rPr>
  </w:style>
  <w:style w:type="character" w:customStyle="1" w:styleId="35">
    <w:name w:val="news_meta"/>
    <w:basedOn w:val="13"/>
    <w:qFormat/>
    <w:uiPriority w:val="0"/>
  </w:style>
  <w:style w:type="character" w:customStyle="1" w:styleId="36">
    <w:name w:val="column-name"/>
    <w:basedOn w:val="13"/>
    <w:qFormat/>
    <w:uiPriority w:val="0"/>
    <w:rPr>
      <w:color w:val="124D83"/>
    </w:rPr>
  </w:style>
  <w:style w:type="character" w:customStyle="1" w:styleId="37">
    <w:name w:val="column-name1"/>
    <w:basedOn w:val="13"/>
    <w:qFormat/>
    <w:uiPriority w:val="0"/>
    <w:rPr>
      <w:color w:val="124D83"/>
    </w:rPr>
  </w:style>
  <w:style w:type="character" w:customStyle="1" w:styleId="38">
    <w:name w:val="column-name2"/>
    <w:basedOn w:val="13"/>
    <w:qFormat/>
    <w:uiPriority w:val="0"/>
    <w:rPr>
      <w:color w:val="124D83"/>
    </w:rPr>
  </w:style>
  <w:style w:type="character" w:customStyle="1" w:styleId="39">
    <w:name w:val="column-name3"/>
    <w:basedOn w:val="13"/>
    <w:qFormat/>
    <w:uiPriority w:val="0"/>
    <w:rPr>
      <w:color w:val="124D83"/>
    </w:rPr>
  </w:style>
  <w:style w:type="character" w:customStyle="1" w:styleId="40">
    <w:name w:val="column-name4"/>
    <w:basedOn w:val="13"/>
    <w:qFormat/>
    <w:uiPriority w:val="0"/>
    <w:rPr>
      <w:color w:val="124D83"/>
    </w:rPr>
  </w:style>
  <w:style w:type="table" w:customStyle="1" w:styleId="4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2756</Words>
  <Characters>3025</Characters>
  <Lines>0</Lines>
  <Paragraphs>0</Paragraphs>
  <TotalTime>3</TotalTime>
  <ScaleCrop>false</ScaleCrop>
  <LinksUpToDate>false</LinksUpToDate>
  <CharactersWithSpaces>3109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2022-04-14T17:37:00Z</dcterms:created>
  <dc:creator>蒹葭</dc:creator>
  <cp:lastModifiedBy>蒹葭</cp:lastModifiedBy>
  <cp:lastPrinted>2022-05-17T17:27:00Z</cp:lastPrinted>
  <dcterms:modified xsi:type="dcterms:W3CDTF">2022-11-02T10:01:29Z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CC5B532A3FEB48A0BEE74F85D103FE06</vt:lpwstr>
  </property>
  <property fmtid="{D5CDD505-2E9C-101B-9397-08002B2CF9AE}" pid="4" name="commondata">
    <vt:lpwstr>eyJoZGlkIjoiOWRkMTM2OTU3YWJiMzk0NDVkMjhjZThlODY4M2M2ZDYifQ==</vt:lpwstr>
  </property>
</Properties>
</file>