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bookmarkStart w:id="0" w:name="_GoBack"/>
      <w:bookmarkEnd w:id="0"/>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color w:val="auto"/>
          <w:sz w:val="36"/>
          <w:szCs w:val="36"/>
          <w:lang w:val="en-US" w:eastAsia="zh-CN"/>
        </w:rPr>
        <w:t>2022年预埋件（第一批次）采购公开询价</w:t>
      </w:r>
      <w:r>
        <w:rPr>
          <w:rFonts w:hint="eastAsia" w:ascii="方正小标宋简体" w:hAnsi="方正小标宋简体" w:eastAsia="方正小标宋简体" w:cs="方正小标宋简体"/>
          <w:sz w:val="36"/>
          <w:szCs w:val="36"/>
          <w:lang w:val="en-US" w:eastAsia="zh-CN"/>
        </w:rPr>
        <w:t>文件</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一、项目名称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single"/>
          <w:lang w:val="en-US" w:eastAsia="zh-CN"/>
        </w:rPr>
        <w:t>2022年预埋件（第一批次）采购</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252"/>
        <w:jc w:val="lef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采购内容及要求</w:t>
      </w:r>
    </w:p>
    <w:tbl>
      <w:tblPr>
        <w:tblStyle w:val="13"/>
        <w:tblW w:w="9285" w:type="dxa"/>
        <w:tblInd w:w="-1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2250"/>
        <w:gridCol w:w="2910"/>
        <w:gridCol w:w="1140"/>
        <w:gridCol w:w="1245"/>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序号</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材料名称</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规格型号</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单位</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数量</w:t>
            </w:r>
          </w:p>
        </w:tc>
        <w:tc>
          <w:tcPr>
            <w:tcW w:w="9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KBG锁母</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10000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KBG75盒</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H=100，φ20+25孔</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3</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KBG锁母</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φ25</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150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4</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KBG90°弯头</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φ32</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5</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5</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KBG线管</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φ32</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米</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5</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6</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KBG86盒</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H=100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3000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7</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KBG直接</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φ32</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1</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8</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无缝钢管</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DN40*3（国标）</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米</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5</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9</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塑料垫块</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50mm</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3000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10</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塑料垫块</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15-20mm</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400000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11</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PVC线管</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米</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60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12</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PVC86盒</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H=100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8000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13</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PVC止水节</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DN110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30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14</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PVC堵头</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DN40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5</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15</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PVC止水节</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DN50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10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16</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PVC止水节</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DN50*150mm</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100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17</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PVC偏心止水节</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DN160*110*150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18</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PVC偏心止水节</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DN110*75*150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50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19</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PVC明装开关盒</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86*86 H=40 20+25孔</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5</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20</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PVC-U排水管</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315mm</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米</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10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21</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波纹管</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φ25 塑料</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米</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80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22</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PVC86盒</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H=100 八角</w:t>
            </w:r>
            <w:r>
              <w:rPr>
                <w:rFonts w:hint="eastAsia" w:asciiTheme="minorHAnsi" w:hAnsiTheme="minorHAnsi" w:eastAsiaTheme="minorEastAsia" w:cstheme="minorBidi"/>
                <w:b/>
                <w:bCs/>
                <w:color w:val="auto"/>
                <w:kern w:val="2"/>
                <w:sz w:val="21"/>
                <w:szCs w:val="24"/>
                <w:lang w:val="en-US" w:eastAsia="zh-CN" w:bidi="ar-SA"/>
              </w:rPr>
              <w:tab/>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8000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23</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PVC管卡（追码）</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24</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PVC止水节</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DN75</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50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25</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吊钉</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2340-2.5-170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800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26</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吊钉</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2340-2.5-140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800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27</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PVC锁母</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30000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28</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PVC锁母</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φ25</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29</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吊钉</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2340-2.5-085</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3000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30</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PVC86盒</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H=90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2000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31</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预埋钢板</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120×500×10 Q235</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32</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PE 变径三通</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40*20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33</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PE 变径三通</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32*20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34</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PVC可调芯止水节</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DN90*50*150</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35</w:t>
            </w:r>
          </w:p>
        </w:tc>
        <w:tc>
          <w:tcPr>
            <w:tcW w:w="22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PVC锁母</w:t>
            </w:r>
          </w:p>
        </w:tc>
        <w:tc>
          <w:tcPr>
            <w:tcW w:w="291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φ16</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12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7000</w:t>
            </w:r>
          </w:p>
        </w:tc>
        <w:tc>
          <w:tcPr>
            <w:tcW w:w="97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bl>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简体" w:cs="Times New Roman"/>
          <w:color w:val="auto"/>
          <w:sz w:val="32"/>
          <w:szCs w:val="32"/>
          <w:u w:val="none"/>
          <w:lang w:val="en-US" w:eastAsia="zh-CN"/>
        </w:rPr>
      </w:pPr>
      <w:r>
        <w:rPr>
          <w:rFonts w:hint="eastAsia" w:ascii="黑体" w:hAnsi="黑体" w:eastAsia="黑体" w:cs="黑体"/>
          <w:b w:val="0"/>
          <w:bCs/>
          <w:color w:val="auto"/>
          <w:sz w:val="32"/>
          <w:szCs w:val="32"/>
          <w:lang w:val="en-US" w:eastAsia="zh-CN"/>
        </w:rPr>
        <w:t>三、报价方式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本次报价为不含税报价。报价人报价时必须充分考虑本项目的实际情况，对可能涉及的与本项目相关的材料费、包装费、运输费、装卸费、风险以及其他相关费用等统筹考虑，一并报价。所报价格应包含以上全部工作所需的一切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四、报价文件的递交</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1.报价文件名称应标注为“2022年预埋件（第一批次）采购报价文件”，逾期送达的报价文件无效。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2.报价单位在递交报价文件时须同步提交：①合格有效的法人营业执照(副本)复印件；②身份证明（法定代表人报价的提供代表人身份证复印件；授权报价的，提供法定代表人授权书原件和被授权人身份证复印件）；③企业其他资质证书（开户证明及业绩证明）。以上复印件材料均需加盖公章。</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3.报价单位应对所递交的报价文件以及与报价有关的证明和资料的真实性负责，若以弄虚作假给询价人造成损失的，依法承担赔偿责任。</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五、服务要求</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0000FF"/>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1.质量要求、技术标准、卖方对质量负责的条件：质量标准和要求：卖方产品必须满足现行“中华人民共和国国家标准”；</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2.付款方式：一票制结算，月结。甲乙双方每月24日对已送货数量进行核对，经验收合格核对无误后乙方向甲方开具增值税专用发票，甲方在收到乙方等额、有效的</w:t>
      </w:r>
      <w:r>
        <w:rPr>
          <w:rFonts w:hint="eastAsia" w:ascii="Times New Roman" w:hAnsi="Times New Roman" w:eastAsia="方正仿宋简体" w:cs="Times New Roman"/>
          <w:color w:val="auto"/>
          <w:sz w:val="32"/>
          <w:szCs w:val="32"/>
          <w:u w:val="single"/>
          <w:lang w:val="en-US" w:eastAsia="zh-CN"/>
        </w:rPr>
        <w:t xml:space="preserve">    </w:t>
      </w:r>
      <w:r>
        <w:rPr>
          <w:rFonts w:hint="eastAsia" w:ascii="Times New Roman" w:hAnsi="Times New Roman" w:eastAsia="方正仿宋简体" w:cs="Times New Roman"/>
          <w:color w:val="auto"/>
          <w:sz w:val="32"/>
          <w:szCs w:val="32"/>
          <w:u w:val="none"/>
          <w:lang w:val="en-US" w:eastAsia="zh-CN"/>
        </w:rPr>
        <w:t xml:space="preserve"> %增值税专用发票后30日内支付乙方材料款。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color w:val="auto"/>
          <w:sz w:val="32"/>
          <w:szCs w:val="32"/>
          <w:u w:val="none"/>
          <w:lang w:eastAsia="zh-CN"/>
        </w:rPr>
      </w:pPr>
      <w:r>
        <w:rPr>
          <w:rFonts w:hint="eastAsia" w:ascii="Times New Roman" w:hAnsi="Times New Roman" w:eastAsia="方正仿宋简体" w:cs="Times New Roman"/>
          <w:b/>
          <w:bCs/>
          <w:color w:val="auto"/>
          <w:sz w:val="32"/>
          <w:szCs w:val="32"/>
          <w:u w:val="none"/>
          <w:lang w:eastAsia="zh-CN"/>
        </w:rPr>
        <w:t xml:space="preserve">★以上要求均为实质性要求，不允许有负偏离，否则作无效处理。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六、评审方法</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b w:val="0"/>
          <w:bCs w:val="0"/>
          <w:color w:val="auto"/>
          <w:sz w:val="32"/>
          <w:szCs w:val="32"/>
          <w:u w:val="none"/>
          <w:lang w:val="en-US" w:eastAsia="zh-CN"/>
        </w:rPr>
        <w:t>1.</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本项目采用以经评审的最低价法确定本项目成交单位。如有最终报价相同者，取注册资本金大的一方为成交候选供应商。</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2.开启时间及地点：</w:t>
      </w:r>
      <w:r>
        <w:rPr>
          <w:rFonts w:hint="eastAsia" w:ascii="Times New Roman" w:hAnsi="Times New Roman" w:eastAsia="方正仿宋简体" w:cs="Times New Roman"/>
          <w:caps w:val="0"/>
          <w:color w:val="auto"/>
          <w:spacing w:val="0"/>
          <w:kern w:val="0"/>
          <w:sz w:val="32"/>
          <w:szCs w:val="32"/>
          <w:u w:val="single"/>
          <w:shd w:val="clear" w:fill="FFFFFF"/>
          <w:lang w:val="en-US" w:eastAsia="zh-CN" w:bidi="ar"/>
        </w:rPr>
        <w:t>2022年11月7日14:30</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，在泸州市兴泸远大建筑科技有限公司内由评标小组举行开标。</w:t>
      </w:r>
    </w:p>
    <w:p>
      <w:pPr>
        <w:pStyle w:val="2"/>
      </w:pPr>
    </w:p>
    <w:p/>
    <w:p>
      <w:pPr>
        <w:pStyle w:val="2"/>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adjustRightInd w:val="0"/>
        <w:snapToGrid w:val="0"/>
        <w:jc w:val="center"/>
        <w:outlineLvl w:val="0"/>
        <w:rPr>
          <w:rFonts w:hint="eastAsia" w:eastAsiaTheme="minorEastAsia"/>
          <w:b/>
          <w:sz w:val="18"/>
          <w:szCs w:val="18"/>
          <w:lang w:eastAsia="zh-CN"/>
        </w:rPr>
      </w:pPr>
      <w:r>
        <w:rPr>
          <w:b/>
          <w:sz w:val="36"/>
          <w:szCs w:val="36"/>
        </w:rPr>
        <w:t>响应文件</w:t>
      </w:r>
      <w:r>
        <w:rPr>
          <w:rFonts w:hint="eastAsia"/>
          <w:b/>
          <w:sz w:val="36"/>
          <w:szCs w:val="36"/>
        </w:rPr>
        <w:t>（</w:t>
      </w:r>
      <w:r>
        <w:rPr>
          <w:b/>
          <w:sz w:val="36"/>
          <w:szCs w:val="36"/>
        </w:rPr>
        <w:t>格式</w:t>
      </w:r>
      <w:r>
        <w:rPr>
          <w:rFonts w:hint="eastAsia"/>
          <w:b/>
          <w:sz w:val="36"/>
          <w:szCs w:val="36"/>
        </w:rPr>
        <w:t>）</w:t>
      </w:r>
    </w:p>
    <w:p>
      <w:pPr>
        <w:adjustRightInd w:val="0"/>
        <w:snapToGrid w:val="0"/>
        <w:outlineLvl w:val="0"/>
        <w:rPr>
          <w:szCs w:val="28"/>
        </w:rPr>
      </w:pPr>
      <w:r>
        <w:rPr>
          <w:szCs w:val="28"/>
        </w:rPr>
        <w:t>封面：</w:t>
      </w:r>
    </w:p>
    <w:p>
      <w:pPr>
        <w:pStyle w:val="7"/>
        <w:tabs>
          <w:tab w:val="left" w:pos="1260"/>
        </w:tabs>
        <w:jc w:val="center"/>
        <w:rPr>
          <w:rFonts w:ascii="Times New Roman" w:hAnsi="Times New Roman" w:cs="Times New Roman"/>
          <w:b/>
          <w:bCs/>
          <w:spacing w:val="100"/>
          <w:w w:val="110"/>
          <w:kern w:val="0"/>
          <w:sz w:val="36"/>
          <w:szCs w:val="36"/>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2"/>
          <w:szCs w:val="72"/>
          <w:lang w:val="en-US" w:eastAsia="zh-CN"/>
        </w:rPr>
      </w:pPr>
      <w:r>
        <w:rPr>
          <w:rFonts w:hint="eastAsia" w:ascii="方正小标宋简体" w:hAnsi="方正小标宋简体" w:eastAsia="方正小标宋简体" w:cs="方正小标宋简体"/>
          <w:sz w:val="52"/>
          <w:szCs w:val="72"/>
          <w:lang w:val="en-US" w:eastAsia="zh-CN"/>
        </w:rPr>
        <w:t>泸州市兴泸远大建筑科技有限公司采购</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eastAsia="zh-CN"/>
        </w:rPr>
      </w:pPr>
      <w:r>
        <w:rPr>
          <w:rFonts w:hint="eastAsia" w:ascii="方正小标宋简体" w:hAnsi="方正小标宋简体" w:eastAsia="方正小标宋简体" w:cs="方正小标宋简体"/>
          <w:sz w:val="96"/>
          <w:szCs w:val="96"/>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u w:val="single"/>
          <w:lang w:val="en-US" w:eastAsia="zh-CN"/>
        </w:rPr>
      </w:pPr>
    </w:p>
    <w:p>
      <w:pPr>
        <w:pStyle w:val="2"/>
        <w:rPr>
          <w:rFonts w:hint="eastAsia" w:ascii="仿宋_GB2312" w:hAnsi="仿宋_GB2312" w:eastAsia="仿宋_GB2312" w:cs="仿宋_GB2312"/>
          <w:sz w:val="32"/>
          <w:szCs w:val="40"/>
          <w:u w:val="single"/>
          <w:lang w:val="en-US" w:eastAsia="zh-CN"/>
        </w:rPr>
      </w:pPr>
    </w:p>
    <w:p>
      <w:pPr>
        <w:rPr>
          <w:rFonts w:hint="eastAsia" w:ascii="仿宋_GB2312" w:hAnsi="仿宋_GB2312" w:eastAsia="仿宋_GB2312" w:cs="仿宋_GB2312"/>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小标宋简体" w:hAnsi="方正小标宋简体" w:eastAsia="方正小标宋简体" w:cs="方正小标宋简体"/>
          <w:sz w:val="44"/>
          <w:szCs w:val="52"/>
          <w:lang w:val="en-US" w:eastAsia="zh-CN"/>
        </w:rPr>
      </w:pP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default"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项目编号：</w:t>
      </w:r>
      <w:r>
        <w:rPr>
          <w:rFonts w:hint="eastAsia" w:ascii="Times New Roman" w:hAnsi="Times New Roman" w:eastAsia="方正仿宋_GBK" w:cs="Times New Roman"/>
          <w:kern w:val="2"/>
          <w:sz w:val="32"/>
          <w:szCs w:val="40"/>
          <w:u w:val="single"/>
          <w:lang w:val="en-US" w:eastAsia="zh-CN" w:bidi="ar-SA"/>
        </w:rPr>
        <w:t>XLJK-XJ-2022039</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cs="Times New Roman"/>
          <w:sz w:val="44"/>
          <w:lang w:val="en-US"/>
        </w:rPr>
      </w:pPr>
      <w:r>
        <w:rPr>
          <w:rFonts w:hint="eastAsia" w:ascii="Times New Roman" w:hAnsi="Times New Roman" w:eastAsia="方正仿宋_GBK" w:cs="Times New Roman"/>
          <w:kern w:val="2"/>
          <w:sz w:val="32"/>
          <w:szCs w:val="40"/>
          <w:lang w:val="en-US" w:eastAsia="zh-CN" w:bidi="ar-SA"/>
        </w:rPr>
        <w:t>项目名称</w:t>
      </w:r>
      <w:r>
        <w:rPr>
          <w:rFonts w:hint="eastAsia" w:ascii="仿宋" w:hAnsi="仿宋" w:eastAsia="仿宋" w:cs="仿宋"/>
          <w:kern w:val="2"/>
          <w:sz w:val="32"/>
          <w:szCs w:val="40"/>
          <w:lang w:val="en-US" w:eastAsia="zh-CN" w:bidi="ar-SA"/>
        </w:rPr>
        <w:t>：</w:t>
      </w:r>
      <w:r>
        <w:rPr>
          <w:rFonts w:hint="eastAsia" w:ascii="仿宋" w:hAnsi="仿宋" w:eastAsia="仿宋" w:cs="仿宋"/>
          <w:color w:val="auto"/>
          <w:kern w:val="2"/>
          <w:sz w:val="32"/>
          <w:szCs w:val="40"/>
          <w:u w:val="single"/>
          <w:lang w:val="en-US" w:eastAsia="zh-CN" w:bidi="ar-SA"/>
        </w:rPr>
        <w:t>2022年预埋件（第一批次）采</w:t>
      </w:r>
      <w:r>
        <w:rPr>
          <w:rFonts w:hint="eastAsia" w:ascii="仿宋" w:hAnsi="仿宋" w:eastAsia="仿宋" w:cs="仿宋"/>
          <w:kern w:val="2"/>
          <w:sz w:val="32"/>
          <w:szCs w:val="40"/>
          <w:u w:val="single"/>
          <w:lang w:val="en-US" w:eastAsia="zh-CN" w:bidi="ar-SA"/>
        </w:rPr>
        <w:t>购项目</w:t>
      </w:r>
    </w:p>
    <w:p>
      <w:pPr>
        <w:pStyle w:val="7"/>
        <w:spacing w:line="360" w:lineRule="auto"/>
        <w:rPr>
          <w:rFonts w:hint="eastAsia"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供应商名称：</w:t>
      </w:r>
      <w:r>
        <w:rPr>
          <w:rFonts w:hint="eastAsia" w:ascii="Times New Roman" w:hAnsi="Times New Roman" w:eastAsia="方正仿宋_GBK" w:cs="Times New Roman"/>
          <w:kern w:val="2"/>
          <w:sz w:val="32"/>
          <w:szCs w:val="40"/>
          <w:u w:val="single"/>
          <w:lang w:val="en-US" w:eastAsia="zh-CN" w:bidi="ar-SA"/>
        </w:rPr>
        <w:t xml:space="preserve">                         </w:t>
      </w:r>
    </w:p>
    <w:p>
      <w:pPr>
        <w:pStyle w:val="7"/>
        <w:spacing w:line="360" w:lineRule="auto"/>
        <w:jc w:val="center"/>
        <w:rPr>
          <w:rFonts w:hint="default" w:ascii="方正小标宋简体" w:hAnsi="方正小标宋简体" w:eastAsia="方正小标宋简体" w:cs="方正小标宋简体"/>
          <w:sz w:val="44"/>
          <w:szCs w:val="52"/>
          <w:lang w:val="en-US" w:eastAsia="zh-CN"/>
        </w:rPr>
      </w:pP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年</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月</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日</w:t>
      </w:r>
      <w:r>
        <w:rPr>
          <w:rFonts w:hint="eastAsia" w:ascii="Times New Roman" w:hAnsi="Times New Roman" w:eastAsia="方正仿宋_GBK" w:cs="Times New Roman"/>
          <w:kern w:val="2"/>
          <w:sz w:val="32"/>
          <w:szCs w:val="40"/>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附件1</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w w:val="85"/>
          <w:sz w:val="44"/>
          <w:szCs w:val="52"/>
          <w:lang w:val="en-US" w:eastAsia="zh-CN"/>
        </w:rPr>
      </w:pPr>
      <w:r>
        <w:rPr>
          <w:rFonts w:hint="eastAsia" w:ascii="方正小标宋简体" w:hAnsi="方正小标宋简体" w:eastAsia="方正小标宋简体" w:cs="方正小标宋简体"/>
          <w:color w:val="auto"/>
          <w:w w:val="85"/>
          <w:sz w:val="44"/>
          <w:szCs w:val="52"/>
          <w:u w:val="single"/>
          <w:lang w:val="en-US" w:eastAsia="zh-CN"/>
        </w:rPr>
        <w:t>2022年预埋件（第一批次）</w:t>
      </w:r>
      <w:r>
        <w:rPr>
          <w:rFonts w:hint="eastAsia" w:ascii="方正小标宋简体" w:hAnsi="方正小标宋简体" w:eastAsia="方正小标宋简体" w:cs="方正小标宋简体"/>
          <w:w w:val="85"/>
          <w:sz w:val="44"/>
          <w:szCs w:val="52"/>
          <w:u w:val="single"/>
          <w:lang w:val="en-US" w:eastAsia="zh-CN"/>
        </w:rPr>
        <w:t>采购项目</w:t>
      </w:r>
      <w:r>
        <w:rPr>
          <w:rFonts w:hint="eastAsia" w:ascii="方正小标宋简体" w:hAnsi="方正小标宋简体" w:eastAsia="方正小标宋简体" w:cs="方正小标宋简体"/>
          <w:w w:val="85"/>
          <w:sz w:val="44"/>
          <w:szCs w:val="52"/>
          <w:lang w:val="en-US" w:eastAsia="zh-CN"/>
        </w:rPr>
        <w:t>报价表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Times New Roman" w:hAnsi="Times New Roman" w:eastAsia="方正仿宋简体" w:cs="Times New Roman"/>
          <w:b w:val="0"/>
          <w:bCs/>
          <w:sz w:val="32"/>
          <w:szCs w:val="32"/>
          <w:u w:val="single"/>
          <w:lang w:eastAsia="zh-CN"/>
        </w:rPr>
      </w:pP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项目名称：</w:t>
      </w:r>
      <w:r>
        <w:rPr>
          <w:rFonts w:hint="eastAsia" w:ascii="Times New Roman" w:hAnsi="Times New Roman" w:eastAsia="方正仿宋简体" w:cs="Times New Roman"/>
          <w:b w:val="0"/>
          <w:bCs/>
          <w:color w:val="auto"/>
          <w:sz w:val="32"/>
          <w:szCs w:val="32"/>
          <w:u w:val="single"/>
          <w:lang w:eastAsia="zh-CN"/>
        </w:rPr>
        <w:t>2022年预埋件（第一批次）采</w:t>
      </w:r>
      <w:r>
        <w:rPr>
          <w:rFonts w:hint="eastAsia" w:ascii="Times New Roman" w:hAnsi="Times New Roman" w:eastAsia="方正仿宋简体" w:cs="Times New Roman"/>
          <w:b w:val="0"/>
          <w:bCs/>
          <w:sz w:val="32"/>
          <w:szCs w:val="32"/>
          <w:u w:val="single"/>
          <w:lang w:eastAsia="zh-CN"/>
        </w:rPr>
        <w:t>购项目</w:t>
      </w:r>
    </w:p>
    <w:p>
      <w:pPr>
        <w:pStyle w:val="9"/>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仿宋" w:hAnsi="仿宋" w:eastAsia="仿宋" w:cs="仿宋"/>
          <w:b w:val="0"/>
          <w:bCs/>
          <w:sz w:val="32"/>
          <w:szCs w:val="32"/>
          <w:lang w:eastAsia="zh-CN"/>
        </w:rPr>
      </w:pPr>
      <w:r>
        <w:rPr>
          <w:rFonts w:hint="eastAsia" w:ascii="Times New Roman" w:hAnsi="Times New Roman" w:eastAsia="方正仿宋简体" w:cs="Times New Roman"/>
          <w:b w:val="0"/>
          <w:bCs/>
          <w:sz w:val="32"/>
          <w:szCs w:val="32"/>
          <w:u w:val="none"/>
          <w:lang w:val="en-US" w:eastAsia="zh-CN"/>
        </w:rPr>
        <w:t>采购编号：</w:t>
      </w:r>
      <w:r>
        <w:rPr>
          <w:rFonts w:hint="eastAsia" w:ascii="Times New Roman" w:hAnsi="Times New Roman" w:eastAsia="方正仿宋_GBK" w:cs="Times New Roman"/>
          <w:kern w:val="2"/>
          <w:sz w:val="32"/>
          <w:szCs w:val="40"/>
          <w:u w:val="single"/>
          <w:lang w:val="en-US" w:eastAsia="zh-CN" w:bidi="ar-SA"/>
        </w:rPr>
        <w:t>XLJK-XJ-2022039</w:t>
      </w:r>
      <w:r>
        <w:rPr>
          <w:rFonts w:hint="eastAsia" w:ascii="仿宋" w:hAnsi="仿宋" w:eastAsia="仿宋" w:cs="仿宋"/>
          <w:b w:val="0"/>
          <w:bCs/>
          <w:sz w:val="32"/>
          <w:szCs w:val="32"/>
          <w:lang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楷体" w:hAnsi="楷体" w:eastAsia="楷体" w:cs="楷体"/>
          <w:b/>
          <w:bCs/>
          <w:sz w:val="28"/>
          <w:szCs w:val="28"/>
          <w:u w:val="none"/>
        </w:rPr>
      </w:pPr>
      <w:r>
        <w:rPr>
          <w:rFonts w:hint="eastAsia" w:ascii="仿宋" w:hAnsi="仿宋" w:eastAsia="仿宋" w:cs="仿宋"/>
          <w:b w:val="0"/>
          <w:bCs/>
          <w:sz w:val="32"/>
          <w:szCs w:val="32"/>
          <w:lang w:eastAsia="zh-CN"/>
        </w:rPr>
        <w:t xml:space="preserve">      </w:t>
      </w:r>
    </w:p>
    <w:tbl>
      <w:tblPr>
        <w:tblStyle w:val="13"/>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1379"/>
        <w:gridCol w:w="1980"/>
        <w:gridCol w:w="788"/>
        <w:gridCol w:w="855"/>
        <w:gridCol w:w="1732"/>
        <w:gridCol w:w="1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序号</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材料名称</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规格型号</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单位</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数量</w:t>
            </w:r>
          </w:p>
        </w:tc>
        <w:tc>
          <w:tcPr>
            <w:tcW w:w="173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不含税单价（元）</w:t>
            </w:r>
          </w:p>
        </w:tc>
        <w:tc>
          <w:tcPr>
            <w:tcW w:w="17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KBG锁母</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10000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KBG75盒</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H=100，φ20+25孔</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3</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KBG锁母</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φ25</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150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4</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KBG90°弯头</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φ32</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5</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5</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KBG线管</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φ32</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米</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5</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6</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KBG86盒</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H=100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3000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7</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KBG直接</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φ32</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1</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8</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无缝钢管</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DN40*3（国标）</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米</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5</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9</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塑料垫块</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50mm</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3000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10</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塑料垫块</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15-20mm</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400000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11</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PVC线管</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米</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60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12</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PVC86盒</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H=100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8000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13</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PVC止水节</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DN110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30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14</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PVC堵头</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DN40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5</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15</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PVC止水节</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DN50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10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16</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PVC止水节</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DN50*150mm</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100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17</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PVC偏心止水节</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DN160*110*150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18</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PVC偏心止水节</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DN110*75*150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50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19</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PVC明装开关盒</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86*86 H=40 20+25孔</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5</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20</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PVC-U排水管</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315mm</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米</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10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21</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波纹管</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φ25 塑料</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米</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80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22</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PVC86盒</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H=100 八角</w:t>
            </w:r>
            <w:r>
              <w:rPr>
                <w:rFonts w:hint="eastAsia" w:asciiTheme="minorHAnsi" w:hAnsiTheme="minorHAnsi" w:eastAsiaTheme="minorEastAsia" w:cstheme="minorBidi"/>
                <w:b/>
                <w:bCs/>
                <w:color w:val="auto"/>
                <w:kern w:val="2"/>
                <w:sz w:val="21"/>
                <w:szCs w:val="24"/>
                <w:lang w:val="en-US" w:eastAsia="zh-CN" w:bidi="ar-SA"/>
              </w:rPr>
              <w:tab/>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8000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23</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PVC管卡（追码）</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24</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PVC止水节</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DN75</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50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25</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吊钉</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2340-2.5-170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800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26</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吊钉</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2340-2.5-140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800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27</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PVC锁母</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30000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28</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PVC锁母</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φ25</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29</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吊钉</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2340-2.5-085</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3000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30</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PVC86盒</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H=90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2000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31</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预埋钢板</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120×500×10 Q235</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32</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PE 变径三通</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40*20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33</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PE 变径三通</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32*20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34</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PVC可调芯止水节</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DN90*50*150</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10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35</w:t>
            </w:r>
          </w:p>
        </w:tc>
        <w:tc>
          <w:tcPr>
            <w:tcW w:w="13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PVC锁母</w:t>
            </w:r>
          </w:p>
        </w:tc>
        <w:tc>
          <w:tcPr>
            <w:tcW w:w="19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φ16</w:t>
            </w:r>
          </w:p>
        </w:tc>
        <w:tc>
          <w:tcPr>
            <w:tcW w:w="78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val="0"/>
                <w:bCs w:val="0"/>
                <w:color w:val="auto"/>
                <w:kern w:val="2"/>
                <w:sz w:val="21"/>
                <w:szCs w:val="24"/>
                <w:lang w:val="en-US" w:eastAsia="zh-CN" w:bidi="ar-SA"/>
              </w:rPr>
            </w:pPr>
            <w:r>
              <w:rPr>
                <w:rFonts w:hint="eastAsia" w:asciiTheme="minorHAnsi" w:hAnsiTheme="minorHAnsi" w:eastAsiaTheme="minorEastAsia" w:cstheme="minorBidi"/>
                <w:b/>
                <w:bCs/>
                <w:color w:val="auto"/>
                <w:kern w:val="2"/>
                <w:sz w:val="21"/>
                <w:szCs w:val="24"/>
                <w:lang w:val="en-US" w:eastAsia="zh-CN" w:bidi="ar-SA"/>
              </w:rPr>
              <w:t>个</w:t>
            </w: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7000</w:t>
            </w:r>
          </w:p>
        </w:tc>
        <w:tc>
          <w:tcPr>
            <w:tcW w:w="1732" w:type="dxa"/>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bCs/>
                <w:color w:val="auto"/>
                <w:kern w:val="2"/>
                <w:sz w:val="21"/>
                <w:szCs w:val="24"/>
                <w:lang w:val="en-US" w:eastAsia="zh-CN" w:bidi="ar-SA"/>
              </w:rPr>
            </w:pPr>
          </w:p>
        </w:tc>
        <w:tc>
          <w:tcPr>
            <w:tcW w:w="173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964"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不含税总价（元）</w:t>
            </w:r>
          </w:p>
        </w:tc>
        <w:tc>
          <w:tcPr>
            <w:tcW w:w="7092" w:type="dxa"/>
            <w:gridSpan w:val="5"/>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964"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p>
        </w:tc>
        <w:tc>
          <w:tcPr>
            <w:tcW w:w="7092" w:type="dxa"/>
            <w:gridSpan w:val="5"/>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cstheme="minorBidi"/>
                <w:b/>
                <w:bCs/>
                <w:color w:val="auto"/>
                <w:kern w:val="2"/>
                <w:sz w:val="21"/>
                <w:szCs w:val="24"/>
                <w:lang w:val="en-US" w:eastAsia="zh-CN" w:bidi="ar-SA"/>
              </w:rPr>
              <w:t>大写：</w:t>
            </w:r>
          </w:p>
        </w:tc>
      </w:tr>
    </w:tbl>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楷体" w:hAnsi="楷体" w:eastAsia="楷体" w:cs="楷体"/>
          <w:b/>
          <w:bCs/>
          <w:sz w:val="28"/>
          <w:szCs w:val="28"/>
          <w:u w:val="none"/>
        </w:rPr>
      </w:pP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楷体" w:hAnsi="楷体" w:eastAsia="楷体" w:cs="楷体"/>
          <w:b/>
          <w:bCs/>
          <w:sz w:val="28"/>
          <w:szCs w:val="28"/>
          <w:u w:val="none"/>
        </w:rPr>
      </w:pPr>
      <w:r>
        <w:rPr>
          <w:rFonts w:hint="eastAsia" w:ascii="楷体" w:hAnsi="楷体" w:eastAsia="楷体" w:cs="楷体"/>
          <w:b/>
          <w:bCs/>
          <w:sz w:val="28"/>
          <w:szCs w:val="28"/>
          <w:u w:val="none"/>
        </w:rPr>
        <w:t>注：</w:t>
      </w:r>
      <w:r>
        <w:rPr>
          <w:rFonts w:hint="eastAsia" w:ascii="楷体" w:hAnsi="楷体" w:eastAsia="楷体" w:cs="楷体"/>
          <w:b/>
          <w:bCs/>
          <w:sz w:val="28"/>
          <w:szCs w:val="28"/>
          <w:u w:val="none"/>
          <w:lang w:val="en-US" w:eastAsia="zh-CN"/>
        </w:rPr>
        <w:t>1.上述</w:t>
      </w:r>
      <w:r>
        <w:rPr>
          <w:rFonts w:hint="eastAsia" w:ascii="楷体" w:hAnsi="楷体" w:eastAsia="楷体" w:cs="楷体"/>
          <w:b/>
          <w:bCs/>
          <w:sz w:val="28"/>
          <w:szCs w:val="28"/>
          <w:u w:val="none"/>
        </w:rPr>
        <w:t>报价</w:t>
      </w:r>
      <w:r>
        <w:rPr>
          <w:rFonts w:hint="eastAsia" w:ascii="楷体" w:hAnsi="楷体" w:eastAsia="楷体" w:cs="楷体"/>
          <w:b/>
          <w:bCs/>
          <w:sz w:val="28"/>
          <w:szCs w:val="28"/>
          <w:u w:val="none"/>
          <w:lang w:eastAsia="zh-CN"/>
        </w:rPr>
        <w:t>应</w:t>
      </w:r>
      <w:r>
        <w:rPr>
          <w:rFonts w:hint="eastAsia" w:ascii="楷体" w:hAnsi="楷体" w:eastAsia="楷体" w:cs="楷体"/>
          <w:b/>
          <w:bCs/>
          <w:sz w:val="28"/>
          <w:szCs w:val="28"/>
          <w:u w:val="none"/>
        </w:rPr>
        <w:t>是最终总价，包括</w:t>
      </w:r>
      <w:r>
        <w:rPr>
          <w:rFonts w:hint="eastAsia" w:ascii="楷体" w:hAnsi="楷体" w:eastAsia="楷体" w:cs="楷体"/>
          <w:b/>
          <w:bCs/>
          <w:sz w:val="28"/>
          <w:szCs w:val="28"/>
          <w:u w:val="none"/>
          <w:lang w:val="en-US" w:eastAsia="zh-CN"/>
        </w:rPr>
        <w:t>材料费、包装费、运输费、装卸费、风险</w:t>
      </w:r>
      <w:r>
        <w:rPr>
          <w:rFonts w:hint="eastAsia" w:ascii="楷体" w:hAnsi="楷体" w:eastAsia="楷体" w:cs="楷体"/>
          <w:b/>
          <w:bCs/>
          <w:sz w:val="28"/>
          <w:szCs w:val="28"/>
          <w:u w:val="none"/>
        </w:rPr>
        <w:t>费用以及一切其它相关费用。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124" w:firstLineChars="400"/>
        <w:textAlignment w:val="auto"/>
        <w:rPr>
          <w:rFonts w:hint="eastAsia" w:ascii="楷体" w:hAnsi="楷体" w:eastAsia="楷体" w:cs="楷体"/>
          <w:b/>
          <w:bCs/>
          <w:sz w:val="28"/>
          <w:szCs w:val="28"/>
          <w:u w:val="none"/>
          <w:lang w:eastAsia="zh-CN"/>
        </w:rPr>
      </w:pPr>
      <w:r>
        <w:rPr>
          <w:rFonts w:hint="eastAsia" w:ascii="楷体" w:hAnsi="楷体" w:eastAsia="楷体" w:cs="楷体"/>
          <w:b/>
          <w:bCs/>
          <w:sz w:val="28"/>
          <w:szCs w:val="28"/>
          <w:u w:val="none"/>
          <w:lang w:val="en-US" w:eastAsia="zh-CN"/>
        </w:rPr>
        <w:t>2.</w:t>
      </w:r>
      <w:r>
        <w:rPr>
          <w:rFonts w:hint="eastAsia" w:ascii="楷体" w:hAnsi="楷体" w:eastAsia="楷体" w:cs="楷体"/>
          <w:b/>
          <w:bCs/>
          <w:sz w:val="28"/>
          <w:szCs w:val="28"/>
          <w:u w:val="none"/>
          <w:lang w:eastAsia="zh-CN"/>
        </w:rPr>
        <w:t>如分项报价之和</w:t>
      </w:r>
      <w:r>
        <w:rPr>
          <w:rFonts w:hint="eastAsia" w:ascii="楷体" w:hAnsi="楷体" w:eastAsia="楷体" w:cs="楷体"/>
          <w:b/>
          <w:bCs/>
          <w:sz w:val="28"/>
          <w:szCs w:val="28"/>
          <w:u w:val="none"/>
        </w:rPr>
        <w:t>与所报总价不一致</w:t>
      </w:r>
      <w:r>
        <w:rPr>
          <w:rFonts w:hint="eastAsia" w:ascii="楷体" w:hAnsi="楷体" w:eastAsia="楷体" w:cs="楷体"/>
          <w:b/>
          <w:bCs/>
          <w:sz w:val="28"/>
          <w:szCs w:val="28"/>
          <w:u w:val="none"/>
          <w:lang w:eastAsia="zh-CN"/>
        </w:rPr>
        <w:t>时</w:t>
      </w:r>
      <w:r>
        <w:rPr>
          <w:rFonts w:hint="eastAsia" w:ascii="楷体" w:hAnsi="楷体" w:eastAsia="楷体" w:cs="楷体"/>
          <w:b/>
          <w:bCs/>
          <w:sz w:val="28"/>
          <w:szCs w:val="28"/>
          <w:u w:val="none"/>
        </w:rPr>
        <w:t>，</w:t>
      </w:r>
      <w:r>
        <w:rPr>
          <w:rFonts w:hint="eastAsia" w:ascii="楷体" w:hAnsi="楷体" w:eastAsia="楷体" w:cs="楷体"/>
          <w:b/>
          <w:bCs/>
          <w:sz w:val="28"/>
          <w:szCs w:val="28"/>
          <w:u w:val="none"/>
          <w:lang w:eastAsia="zh-CN"/>
        </w:rPr>
        <w:t>以总价为准。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124" w:firstLineChars="40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楷体" w:hAnsi="楷体" w:eastAsia="楷体" w:cs="楷体"/>
          <w:b/>
          <w:bCs/>
          <w:kern w:val="2"/>
          <w:sz w:val="28"/>
          <w:szCs w:val="28"/>
          <w:u w:val="none"/>
          <w:lang w:val="en-US" w:eastAsia="zh-CN" w:bidi="ar-SA"/>
        </w:rPr>
        <w:t>3.本项目采用以经评审的最低价法确定本项目成交单位。如有最终报价相同者，取注册资本金大的一方为成交候选供应商。</w:t>
      </w:r>
    </w:p>
    <w:p>
      <w:pPr>
        <w:spacing w:line="360" w:lineRule="auto"/>
        <w:rPr>
          <w:rFonts w:hint="eastAsia" w:ascii="仿宋" w:hAnsi="仿宋" w:eastAsia="仿宋" w:cs="仿宋"/>
          <w:sz w:val="32"/>
          <w:szCs w:val="32"/>
          <w:lang w:eastAsia="zh-CN"/>
        </w:rPr>
      </w:pPr>
    </w:p>
    <w:p>
      <w:pPr>
        <w:spacing w:line="360" w:lineRule="auto"/>
        <w:rPr>
          <w:rFonts w:hint="eastAsia" w:ascii="仿宋" w:hAnsi="仿宋" w:eastAsia="仿宋" w:cs="仿宋"/>
          <w:sz w:val="32"/>
          <w:szCs w:val="32"/>
        </w:rPr>
      </w:pPr>
      <w:r>
        <w:rPr>
          <w:rFonts w:hint="eastAsia" w:ascii="仿宋" w:hAnsi="仿宋" w:eastAsia="仿宋" w:cs="仿宋"/>
          <w:sz w:val="32"/>
          <w:szCs w:val="32"/>
          <w:lang w:eastAsia="zh-CN"/>
        </w:rPr>
        <w:t>报价</w:t>
      </w:r>
      <w:r>
        <w:rPr>
          <w:rFonts w:hint="eastAsia" w:ascii="仿宋" w:hAnsi="仿宋" w:eastAsia="仿宋" w:cs="仿宋"/>
          <w:sz w:val="32"/>
          <w:szCs w:val="32"/>
        </w:rPr>
        <w:t>人名称：</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spacing w:line="360" w:lineRule="auto"/>
        <w:rPr>
          <w:rFonts w:hint="eastAsia" w:ascii="仿宋" w:hAnsi="仿宋" w:eastAsia="仿宋" w:cs="仿宋"/>
          <w:sz w:val="32"/>
          <w:szCs w:val="32"/>
        </w:rPr>
      </w:pPr>
      <w:r>
        <w:rPr>
          <w:rFonts w:hint="eastAsia" w:ascii="仿宋" w:hAnsi="仿宋" w:eastAsia="仿宋" w:cs="仿宋"/>
          <w:sz w:val="32"/>
          <w:szCs w:val="32"/>
        </w:rPr>
        <w:t>法定代表人或其委托代理人：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（签字）</w:t>
      </w:r>
    </w:p>
    <w:p>
      <w:pPr>
        <w:spacing w:line="360" w:lineRule="auto"/>
        <w:ind w:firstLine="3200" w:firstLineChars="1000"/>
        <w:rPr>
          <w:rFonts w:hint="eastAsia" w:ascii="黑体" w:hAnsi="黑体" w:eastAsia="黑体" w:cs="黑体"/>
          <w:sz w:val="28"/>
          <w:szCs w:val="36"/>
          <w:lang w:val="en-US" w:eastAsia="zh-CN"/>
        </w:rPr>
      </w:pP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黑体" w:hAnsi="黑体" w:eastAsia="黑体" w:cs="黑体"/>
          <w:sz w:val="28"/>
          <w:szCs w:val="36"/>
          <w:lang w:val="en-US" w:eastAsia="zh-CN"/>
        </w:rPr>
      </w:pPr>
      <w:r>
        <w:rPr>
          <w:rFonts w:hint="eastAsia" w:ascii="黑体" w:hAnsi="黑体" w:eastAsia="黑体" w:cs="黑体"/>
          <w:sz w:val="28"/>
          <w:szCs w:val="36"/>
          <w:lang w:val="en-US" w:eastAsia="zh-CN"/>
        </w:rPr>
        <w:t>附件2</w:t>
      </w:r>
    </w:p>
    <w:p>
      <w:pPr>
        <w:rPr>
          <w:rFonts w:hint="eastAsia"/>
          <w:lang w:val="en-US" w:eastAsia="zh-CN"/>
        </w:rPr>
      </w:pPr>
    </w:p>
    <w:p>
      <w:pPr>
        <w:pStyle w:val="2"/>
        <w:jc w:val="center"/>
        <w:rPr>
          <w:rFonts w:hint="eastAsia" w:ascii="仿宋" w:hAnsi="仿宋" w:eastAsia="仿宋" w:cs="仿宋"/>
          <w:b w:val="0"/>
          <w:bCs/>
          <w:kern w:val="2"/>
          <w:sz w:val="32"/>
          <w:szCs w:val="32"/>
          <w:lang w:val="en-US" w:eastAsia="zh-CN" w:bidi="ar-SA"/>
        </w:rPr>
      </w:pPr>
      <w:r>
        <w:rPr>
          <w:rFonts w:hint="eastAsia" w:ascii="仿宋" w:hAnsi="仿宋" w:eastAsia="仿宋" w:cs="仿宋"/>
          <w:b w:val="0"/>
          <w:bCs/>
          <w:kern w:val="2"/>
          <w:sz w:val="32"/>
          <w:szCs w:val="32"/>
          <w:lang w:val="en-US" w:eastAsia="zh-CN" w:bidi="ar-SA"/>
        </w:rPr>
        <w:t>其他证明材料</w:t>
      </w:r>
    </w:p>
    <w:p>
      <w:pPr>
        <w:pStyle w:val="2"/>
        <w:jc w:val="center"/>
        <w:rPr>
          <w:rFonts w:hint="default" w:ascii="仿宋" w:hAnsi="仿宋" w:eastAsia="仿宋" w:cs="仿宋"/>
          <w:b w:val="0"/>
          <w:bCs/>
          <w:kern w:val="2"/>
          <w:sz w:val="32"/>
          <w:szCs w:val="32"/>
          <w:lang w:val="en-US" w:eastAsia="zh-CN" w:bidi="ar-SA"/>
        </w:rPr>
      </w:pPr>
      <w:r>
        <w:rPr>
          <w:rFonts w:hint="eastAsia" w:ascii="仿宋" w:hAnsi="仿宋" w:eastAsia="仿宋" w:cs="仿宋"/>
          <w:b w:val="0"/>
          <w:bCs/>
          <w:kern w:val="2"/>
          <w:sz w:val="32"/>
          <w:szCs w:val="32"/>
          <w:lang w:val="en-US" w:eastAsia="zh-CN" w:bidi="ar-SA"/>
        </w:rPr>
        <w:t>包括但不限于</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法人营业执照(副本)、资质证书、近一年类似项目业绩证明材料等的复印件。所有资料应加盖公章。</w:t>
      </w:r>
    </w:p>
    <w:sectPr>
      <w:headerReference r:id="rId3" w:type="default"/>
      <w:footerReference r:id="rId4" w:type="default"/>
      <w:pgSz w:w="11906" w:h="16838"/>
      <w:pgMar w:top="1984" w:right="1474" w:bottom="181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173EEC6-014C-46C6-889D-B120039AEF4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572681F3-19E0-4C2F-832B-126850BA1508}"/>
  </w:font>
  <w:font w:name="仿宋_GB2312">
    <w:panose1 w:val="02010609030101010101"/>
    <w:charset w:val="86"/>
    <w:family w:val="auto"/>
    <w:pitch w:val="default"/>
    <w:sig w:usb0="00000001" w:usb1="080E0000" w:usb2="00000000" w:usb3="00000000" w:csb0="00040000" w:csb1="00000000"/>
    <w:embedRegular r:id="rId3" w:fontKey="{69E357F7-A261-44F2-870D-5EF67486A037}"/>
  </w:font>
  <w:font w:name="方正小标宋简体">
    <w:panose1 w:val="02000000000000000000"/>
    <w:charset w:val="86"/>
    <w:family w:val="auto"/>
    <w:pitch w:val="default"/>
    <w:sig w:usb0="00000001" w:usb1="08000000" w:usb2="00000000" w:usb3="00000000" w:csb0="00040000" w:csb1="00000000"/>
    <w:embedRegular r:id="rId4" w:fontKey="{4F4079B0-212E-441C-A1AF-EA3ED48C2212}"/>
  </w:font>
  <w:font w:name="方正仿宋_GBK">
    <w:panose1 w:val="02000000000000000000"/>
    <w:charset w:val="86"/>
    <w:family w:val="auto"/>
    <w:pitch w:val="default"/>
    <w:sig w:usb0="A00002BF" w:usb1="38CF7CFA" w:usb2="00082016" w:usb3="00000000" w:csb0="00040001" w:csb1="00000000"/>
    <w:embedRegular r:id="rId5" w:fontKey="{46BFE3EA-9E3E-472B-B242-409ECAC7FA17}"/>
  </w:font>
  <w:font w:name="方正仿宋简体">
    <w:panose1 w:val="02000000000000000000"/>
    <w:charset w:val="86"/>
    <w:family w:val="auto"/>
    <w:pitch w:val="default"/>
    <w:sig w:usb0="A00002BF" w:usb1="184F6CFA" w:usb2="00000012" w:usb3="00000000" w:csb0="00040001" w:csb1="00000000"/>
    <w:embedRegular r:id="rId6" w:fontKey="{68CFEAB6-1557-4680-960B-8FC9ED2DBABB}"/>
  </w:font>
  <w:font w:name="仿宋">
    <w:panose1 w:val="02010609060101010101"/>
    <w:charset w:val="86"/>
    <w:family w:val="auto"/>
    <w:pitch w:val="default"/>
    <w:sig w:usb0="800002BF" w:usb1="38CF7CFA" w:usb2="00000016" w:usb3="00000000" w:csb0="00040001" w:csb1="00000000"/>
    <w:embedRegular r:id="rId7" w:fontKey="{5E398E2A-A437-4037-B5AF-B6E7F432FB2F}"/>
  </w:font>
  <w:font w:name="楷体">
    <w:panose1 w:val="02010609060101010101"/>
    <w:charset w:val="86"/>
    <w:family w:val="auto"/>
    <w:pitch w:val="default"/>
    <w:sig w:usb0="800002BF" w:usb1="38CF7CFA" w:usb2="00000016" w:usb3="00000000" w:csb0="00040001" w:csb1="00000000"/>
    <w:embedRegular r:id="rId8" w:fontKey="{E2AFEECF-EE96-4A71-ABA0-525E2A8626A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r>
      <w:rPr>
        <w:sz w:val="18"/>
      </w:rPr>
      <w:drawing>
        <wp:inline distT="0" distB="0" distL="114300" distR="114300">
          <wp:extent cx="1628775" cy="373380"/>
          <wp:effectExtent l="0" t="0" r="9525" b="7620"/>
          <wp:docPr id="3" name="图片 3" descr="精益至信 求是创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精益至信 求是创新"/>
                  <pic:cNvPicPr>
                    <a:picLocks noChangeAspect="1"/>
                  </pic:cNvPicPr>
                </pic:nvPicPr>
                <pic:blipFill>
                  <a:blip r:embed="rId1"/>
                  <a:stretch>
                    <a:fillRect/>
                  </a:stretch>
                </pic:blipFill>
                <pic:spPr>
                  <a:xfrm>
                    <a:off x="0" y="0"/>
                    <a:ext cx="1628775" cy="373380"/>
                  </a:xfrm>
                  <a:prstGeom prst="rect">
                    <a:avLst/>
                  </a:prstGeom>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jc w:val="both"/>
      <w:rPr>
        <w:rFonts w:hint="default" w:ascii="Times New Roman" w:hAnsi="Times New Roman" w:cs="Times New Roman" w:eastAsiaTheme="minorEastAsia"/>
        <w:sz w:val="16"/>
        <w:szCs w:val="16"/>
        <w:lang w:val="en-US" w:eastAsia="zh-CN"/>
      </w:rPr>
    </w:pPr>
    <w:r>
      <w:rPr>
        <w:rFonts w:hint="eastAsia" w:eastAsiaTheme="minorEastAsia"/>
        <w:lang w:eastAsia="zh-CN"/>
      </w:rPr>
      <w:drawing>
        <wp:inline distT="0" distB="0" distL="114300" distR="114300">
          <wp:extent cx="1029970" cy="236855"/>
          <wp:effectExtent l="0" t="0" r="17780" b="10795"/>
          <wp:docPr id="1" name="图片 1" descr="兴泸建科 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兴泸建科 页眉"/>
                  <pic:cNvPicPr>
                    <a:picLocks noChangeAspect="1"/>
                  </pic:cNvPicPr>
                </pic:nvPicPr>
                <pic:blipFill>
                  <a:blip r:embed="rId1"/>
                  <a:stretch>
                    <a:fillRect/>
                  </a:stretch>
                </pic:blipFill>
                <pic:spPr>
                  <a:xfrm>
                    <a:off x="0" y="0"/>
                    <a:ext cx="1029970" cy="236855"/>
                  </a:xfrm>
                  <a:prstGeom prst="rect">
                    <a:avLst/>
                  </a:prstGeom>
                </pic:spPr>
              </pic:pic>
            </a:graphicData>
          </a:graphic>
        </wp:inline>
      </w:drawing>
    </w:r>
    <w:r>
      <w:rPr>
        <w:rFonts w:hint="eastAsia"/>
        <w:lang w:val="en-US" w:eastAsia="zh-CN"/>
      </w:rPr>
      <w:t xml:space="preserve">                                                  </w:t>
    </w:r>
    <w:r>
      <w:rPr>
        <w:rFonts w:hint="eastAsia" w:ascii="Times New Roman" w:hAnsi="Times New Roman" w:eastAsia="仿宋_GB2312" w:cs="Times New Roman"/>
        <w:sz w:val="28"/>
        <w:szCs w:val="36"/>
        <w:u w:val="none"/>
        <w:lang w:val="en-US" w:eastAsia="zh-CN"/>
      </w:rPr>
      <w:t xml:space="preserve"> XLJK-XJ-2022039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0451A"/>
    <w:multiLevelType w:val="singleLevel"/>
    <w:tmpl w:val="81D0451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kMTM2OTU3YWJiMzk0NDVkMjhjZThlODY4M2M2ZDYifQ=="/>
  </w:docVars>
  <w:rsids>
    <w:rsidRoot w:val="04BF43EC"/>
    <w:rsid w:val="01C179C0"/>
    <w:rsid w:val="035C4F03"/>
    <w:rsid w:val="04BF43EC"/>
    <w:rsid w:val="06CC24E5"/>
    <w:rsid w:val="083A4496"/>
    <w:rsid w:val="091F6DB5"/>
    <w:rsid w:val="0AC02D3A"/>
    <w:rsid w:val="0C8D450E"/>
    <w:rsid w:val="0E4A2FAF"/>
    <w:rsid w:val="0E844472"/>
    <w:rsid w:val="10646D78"/>
    <w:rsid w:val="11876580"/>
    <w:rsid w:val="13CF471F"/>
    <w:rsid w:val="198774D4"/>
    <w:rsid w:val="1C977094"/>
    <w:rsid w:val="21B5097A"/>
    <w:rsid w:val="269012BF"/>
    <w:rsid w:val="28A179E9"/>
    <w:rsid w:val="299D779B"/>
    <w:rsid w:val="29B9292D"/>
    <w:rsid w:val="2AE05ACC"/>
    <w:rsid w:val="2C537E0B"/>
    <w:rsid w:val="2E4E0D69"/>
    <w:rsid w:val="32ED0C8A"/>
    <w:rsid w:val="3481393C"/>
    <w:rsid w:val="369117B0"/>
    <w:rsid w:val="36CA5C3C"/>
    <w:rsid w:val="373351CC"/>
    <w:rsid w:val="3BCC07B4"/>
    <w:rsid w:val="3CDA7388"/>
    <w:rsid w:val="3D163DB9"/>
    <w:rsid w:val="3DF5009A"/>
    <w:rsid w:val="3EFA7A7A"/>
    <w:rsid w:val="3F9609E4"/>
    <w:rsid w:val="414F227F"/>
    <w:rsid w:val="41B423AB"/>
    <w:rsid w:val="42070B9A"/>
    <w:rsid w:val="432D7889"/>
    <w:rsid w:val="45C2326F"/>
    <w:rsid w:val="471B6EA2"/>
    <w:rsid w:val="4957285D"/>
    <w:rsid w:val="4A613F44"/>
    <w:rsid w:val="537B75A2"/>
    <w:rsid w:val="53F72189"/>
    <w:rsid w:val="54EA61D9"/>
    <w:rsid w:val="564F3F0B"/>
    <w:rsid w:val="56EC2626"/>
    <w:rsid w:val="5CCD3DB2"/>
    <w:rsid w:val="62AF62D8"/>
    <w:rsid w:val="65C14CD2"/>
    <w:rsid w:val="67B473AA"/>
    <w:rsid w:val="67CC1623"/>
    <w:rsid w:val="68081079"/>
    <w:rsid w:val="6BA61D00"/>
    <w:rsid w:val="6C032C6D"/>
    <w:rsid w:val="722F2561"/>
    <w:rsid w:val="73D67AD1"/>
    <w:rsid w:val="754361EB"/>
    <w:rsid w:val="760374FD"/>
    <w:rsid w:val="766E790A"/>
    <w:rsid w:val="786E0325"/>
    <w:rsid w:val="7AA72012"/>
    <w:rsid w:val="7B242D44"/>
    <w:rsid w:val="7BFD5343"/>
    <w:rsid w:val="7C6C8DC5"/>
    <w:rsid w:val="7FE40CF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5"/>
    <w:qFormat/>
    <w:uiPriority w:val="0"/>
    <w:pPr>
      <w:keepNext/>
      <w:keepLines/>
      <w:spacing w:before="260" w:after="260" w:line="415" w:lineRule="auto"/>
      <w:outlineLvl w:val="1"/>
    </w:pPr>
    <w:rPr>
      <w:rFonts w:ascii="Arial" w:hAnsi="Arial" w:eastAsia="黑体"/>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Body Text 2"/>
    <w:basedOn w:val="1"/>
    <w:qFormat/>
    <w:uiPriority w:val="0"/>
    <w:pPr>
      <w:spacing w:line="300" w:lineRule="exact"/>
    </w:pPr>
    <w:rPr>
      <w:sz w:val="18"/>
    </w:rPr>
  </w:style>
  <w:style w:type="paragraph" w:styleId="5">
    <w:name w:val="Normal Indent"/>
    <w:basedOn w:val="1"/>
    <w:qFormat/>
    <w:uiPriority w:val="0"/>
    <w:pPr>
      <w:overflowPunct w:val="0"/>
      <w:spacing w:line="360" w:lineRule="auto"/>
      <w:ind w:firstLine="420"/>
    </w:pPr>
    <w:rPr>
      <w:rFonts w:ascii="宋体" w:hAnsi="宋体" w:eastAsia="仿宋_GB2312"/>
      <w:sz w:val="24"/>
      <w:szCs w:val="20"/>
    </w:rPr>
  </w:style>
  <w:style w:type="paragraph" w:styleId="6">
    <w:name w:val="Body Text Indent"/>
    <w:basedOn w:val="1"/>
    <w:qFormat/>
    <w:uiPriority w:val="0"/>
    <w:pPr>
      <w:ind w:firstLine="600"/>
    </w:pPr>
    <w:rPr>
      <w:sz w:val="32"/>
      <w:szCs w:val="20"/>
    </w:rPr>
  </w:style>
  <w:style w:type="paragraph" w:styleId="7">
    <w:name w:val="Plain Text"/>
    <w:basedOn w:val="1"/>
    <w:qFormat/>
    <w:uiPriority w:val="0"/>
    <w:rPr>
      <w:rFonts w:ascii="宋体" w:hAnsi="Courier New" w:cs="Courier New"/>
      <w:sz w:val="21"/>
      <w:szCs w:val="21"/>
    </w:rPr>
  </w:style>
  <w:style w:type="paragraph" w:styleId="8">
    <w:name w:val="footer"/>
    <w:basedOn w:val="1"/>
    <w:qFormat/>
    <w:uiPriority w:val="0"/>
    <w:pPr>
      <w:tabs>
        <w:tab w:val="center" w:pos="4153"/>
        <w:tab w:val="right" w:pos="8306"/>
      </w:tabs>
      <w:snapToGrid w:val="0"/>
      <w:jc w:val="left"/>
    </w:pPr>
    <w:rPr>
      <w:kern w:val="2"/>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2"/>
    <w:qFormat/>
    <w:uiPriority w:val="0"/>
    <w:pPr>
      <w:spacing w:line="360" w:lineRule="auto"/>
      <w:ind w:left="30" w:leftChars="30" w:firstLine="420" w:firstLineChars="100"/>
    </w:pPr>
    <w:rPr>
      <w:rFonts w:ascii="宋体" w:hAnsi="宋体"/>
      <w:sz w:val="24"/>
      <w:szCs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styleId="16">
    <w:name w:val="FollowedHyperlink"/>
    <w:basedOn w:val="14"/>
    <w:qFormat/>
    <w:uiPriority w:val="0"/>
    <w:rPr>
      <w:color w:val="333333"/>
      <w:u w:val="none"/>
    </w:rPr>
  </w:style>
  <w:style w:type="character" w:styleId="17">
    <w:name w:val="Hyperlink"/>
    <w:basedOn w:val="14"/>
    <w:qFormat/>
    <w:uiPriority w:val="0"/>
    <w:rPr>
      <w:color w:val="333333"/>
      <w:u w:val="none"/>
    </w:rPr>
  </w:style>
  <w:style w:type="character" w:customStyle="1" w:styleId="18">
    <w:name w:val="baike-info-value"/>
    <w:basedOn w:val="14"/>
    <w:qFormat/>
    <w:uiPriority w:val="0"/>
  </w:style>
  <w:style w:type="character" w:customStyle="1" w:styleId="19">
    <w:name w:val="item-name"/>
    <w:basedOn w:val="14"/>
    <w:qFormat/>
    <w:uiPriority w:val="0"/>
  </w:style>
  <w:style w:type="character" w:customStyle="1" w:styleId="20">
    <w:name w:val="item-name1"/>
    <w:basedOn w:val="14"/>
    <w:qFormat/>
    <w:uiPriority w:val="0"/>
  </w:style>
  <w:style w:type="character" w:customStyle="1" w:styleId="21">
    <w:name w:val="item-name2"/>
    <w:basedOn w:val="14"/>
    <w:qFormat/>
    <w:uiPriority w:val="0"/>
  </w:style>
  <w:style w:type="character" w:customStyle="1" w:styleId="22">
    <w:name w:val="item-name3"/>
    <w:basedOn w:val="14"/>
    <w:qFormat/>
    <w:uiPriority w:val="0"/>
  </w:style>
  <w:style w:type="character" w:customStyle="1" w:styleId="23">
    <w:name w:val="item-name4"/>
    <w:basedOn w:val="14"/>
    <w:qFormat/>
    <w:uiPriority w:val="0"/>
  </w:style>
  <w:style w:type="character" w:customStyle="1" w:styleId="24">
    <w:name w:val="item-name5"/>
    <w:basedOn w:val="14"/>
    <w:qFormat/>
    <w:uiPriority w:val="0"/>
  </w:style>
  <w:style w:type="character" w:customStyle="1" w:styleId="25">
    <w:name w:val="item-name6"/>
    <w:basedOn w:val="14"/>
    <w:qFormat/>
    <w:uiPriority w:val="0"/>
  </w:style>
  <w:style w:type="character" w:customStyle="1" w:styleId="26">
    <w:name w:val="item-name7"/>
    <w:basedOn w:val="14"/>
    <w:qFormat/>
    <w:uiPriority w:val="0"/>
  </w:style>
  <w:style w:type="character" w:customStyle="1" w:styleId="27">
    <w:name w:val="item-name8"/>
    <w:basedOn w:val="14"/>
    <w:qFormat/>
    <w:uiPriority w:val="0"/>
    <w:rPr>
      <w:vanish/>
    </w:rPr>
  </w:style>
  <w:style w:type="character" w:customStyle="1" w:styleId="28">
    <w:name w:val="item-name9"/>
    <w:basedOn w:val="14"/>
    <w:qFormat/>
    <w:uiPriority w:val="0"/>
    <w:rPr>
      <w:vanish/>
    </w:rPr>
  </w:style>
  <w:style w:type="character" w:customStyle="1" w:styleId="29">
    <w:name w:val="item-name10"/>
    <w:basedOn w:val="14"/>
    <w:qFormat/>
    <w:uiPriority w:val="0"/>
  </w:style>
  <w:style w:type="character" w:customStyle="1" w:styleId="30">
    <w:name w:val="news_title"/>
    <w:basedOn w:val="14"/>
    <w:qFormat/>
    <w:uiPriority w:val="0"/>
  </w:style>
  <w:style w:type="character" w:customStyle="1" w:styleId="31">
    <w:name w:val="column-name12"/>
    <w:basedOn w:val="14"/>
    <w:qFormat/>
    <w:uiPriority w:val="0"/>
    <w:rPr>
      <w:color w:val="124D83"/>
    </w:rPr>
  </w:style>
  <w:style w:type="character" w:customStyle="1" w:styleId="32">
    <w:name w:val="column-name13"/>
    <w:basedOn w:val="14"/>
    <w:qFormat/>
    <w:uiPriority w:val="0"/>
    <w:rPr>
      <w:color w:val="124D83"/>
    </w:rPr>
  </w:style>
  <w:style w:type="character" w:customStyle="1" w:styleId="33">
    <w:name w:val="column-name14"/>
    <w:basedOn w:val="14"/>
    <w:qFormat/>
    <w:uiPriority w:val="0"/>
    <w:rPr>
      <w:color w:val="124D83"/>
    </w:rPr>
  </w:style>
  <w:style w:type="character" w:customStyle="1" w:styleId="34">
    <w:name w:val="column-name15"/>
    <w:basedOn w:val="14"/>
    <w:qFormat/>
    <w:uiPriority w:val="0"/>
    <w:rPr>
      <w:color w:val="124D83"/>
    </w:rPr>
  </w:style>
  <w:style w:type="character" w:customStyle="1" w:styleId="35">
    <w:name w:val="column-name16"/>
    <w:basedOn w:val="14"/>
    <w:qFormat/>
    <w:uiPriority w:val="0"/>
    <w:rPr>
      <w:color w:val="124D83"/>
    </w:rPr>
  </w:style>
  <w:style w:type="character" w:customStyle="1" w:styleId="36">
    <w:name w:val="news_meta"/>
    <w:basedOn w:val="14"/>
    <w:qFormat/>
    <w:uiPriority w:val="0"/>
  </w:style>
  <w:style w:type="character" w:customStyle="1" w:styleId="37">
    <w:name w:val="column-name"/>
    <w:basedOn w:val="14"/>
    <w:qFormat/>
    <w:uiPriority w:val="0"/>
    <w:rPr>
      <w:color w:val="124D83"/>
    </w:rPr>
  </w:style>
  <w:style w:type="character" w:customStyle="1" w:styleId="38">
    <w:name w:val="column-name1"/>
    <w:basedOn w:val="14"/>
    <w:qFormat/>
    <w:uiPriority w:val="0"/>
    <w:rPr>
      <w:color w:val="124D83"/>
    </w:rPr>
  </w:style>
  <w:style w:type="character" w:customStyle="1" w:styleId="39">
    <w:name w:val="column-name2"/>
    <w:basedOn w:val="14"/>
    <w:qFormat/>
    <w:uiPriority w:val="0"/>
    <w:rPr>
      <w:color w:val="124D83"/>
    </w:rPr>
  </w:style>
  <w:style w:type="character" w:customStyle="1" w:styleId="40">
    <w:name w:val="column-name3"/>
    <w:basedOn w:val="14"/>
    <w:qFormat/>
    <w:uiPriority w:val="0"/>
    <w:rPr>
      <w:color w:val="124D83"/>
    </w:rPr>
  </w:style>
  <w:style w:type="character" w:customStyle="1" w:styleId="41">
    <w:name w:val="column-name4"/>
    <w:basedOn w:val="14"/>
    <w:qFormat/>
    <w:uiPriority w:val="0"/>
    <w:rPr>
      <w:color w:val="124D83"/>
    </w:rPr>
  </w:style>
  <w:style w:type="table" w:customStyle="1" w:styleId="4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2687</Words>
  <Characters>3886</Characters>
  <Lines>0</Lines>
  <Paragraphs>0</Paragraphs>
  <TotalTime>2</TotalTime>
  <ScaleCrop>false</ScaleCrop>
  <LinksUpToDate>false</LinksUpToDate>
  <CharactersWithSpaces>4030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2022-04-14T17:37:00Z</dcterms:created>
  <dc:creator>蒹葭</dc:creator>
  <cp:lastModifiedBy>蒹葭</cp:lastModifiedBy>
  <cp:lastPrinted>2022-05-17T17:27:00Z</cp:lastPrinted>
  <dcterms:modified xsi:type="dcterms:W3CDTF">2022-11-02T10:04:59Z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D8B2CC004DE24DD9946DCA41742C6C19</vt:lpwstr>
  </property>
  <property fmtid="{D5CDD505-2E9C-101B-9397-08002B2CF9AE}" pid="4" name="commondata">
    <vt:lpwstr>eyJoZGlkIjoiOWRkMTM2OTU3YWJiMzk0NDVkMjhjZThlODY4M2M2ZDYifQ==</vt:lpwstr>
  </property>
</Properties>
</file>